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exact"/>
        <w:rPr>
          <w:rFonts w:ascii="黑体" w:hAnsi="黑体" w:eastAsia="黑体"/>
          <w:sz w:val="28"/>
          <w:szCs w:val="28"/>
        </w:rPr>
      </w:pPr>
      <w:r>
        <w:rPr>
          <w:rFonts w:hint="eastAsia" w:ascii="黑体" w:hAnsi="黑体" w:eastAsia="黑体"/>
          <w:sz w:val="28"/>
          <w:szCs w:val="28"/>
        </w:rPr>
        <w:t>附件1：</w:t>
      </w:r>
    </w:p>
    <w:p>
      <w:pPr>
        <w:spacing w:line="400" w:lineRule="exact"/>
        <w:jc w:val="center"/>
        <w:rPr>
          <w:rFonts w:ascii="方正小标宋简体" w:hAnsi="黑体" w:eastAsia="方正小标宋简体"/>
          <w:sz w:val="32"/>
          <w:szCs w:val="32"/>
        </w:rPr>
      </w:pPr>
      <w:r>
        <w:rPr>
          <w:rFonts w:hint="eastAsia" w:ascii="方正小标宋简体" w:hAnsi="黑体" w:eastAsia="方正小标宋简体"/>
          <w:sz w:val="32"/>
          <w:szCs w:val="32"/>
        </w:rPr>
        <w:t>项目支出绩效自评表</w:t>
      </w:r>
    </w:p>
    <w:p>
      <w:pPr>
        <w:spacing w:line="400" w:lineRule="exact"/>
        <w:rPr>
          <w:rFonts w:ascii="仿宋_GB2312" w:hAnsi="宋体" w:eastAsia="仿宋_GB2312"/>
          <w:sz w:val="28"/>
          <w:szCs w:val="28"/>
        </w:rPr>
      </w:pPr>
      <w:r>
        <w:rPr>
          <w:rFonts w:hint="eastAsia" w:ascii="仿宋_GB2312" w:eastAsia="仿宋_GB2312"/>
          <w:sz w:val="28"/>
          <w:szCs w:val="28"/>
        </w:rPr>
        <w:t xml:space="preserve">                   </w:t>
      </w:r>
      <w:r>
        <w:rPr>
          <w:rFonts w:ascii="仿宋_GB2312" w:eastAsia="仿宋_GB2312"/>
          <w:sz w:val="28"/>
          <w:szCs w:val="28"/>
        </w:rPr>
        <w:t xml:space="preserve">  </w:t>
      </w:r>
      <w:r>
        <w:rPr>
          <w:rFonts w:hint="eastAsia" w:ascii="仿宋_GB2312" w:hAnsi="宋体" w:eastAsia="仿宋_GB2312"/>
          <w:sz w:val="28"/>
          <w:szCs w:val="28"/>
        </w:rPr>
        <w:t xml:space="preserve"> </w:t>
      </w:r>
      <w:r>
        <w:rPr>
          <w:rFonts w:ascii="仿宋_GB2312" w:hAnsi="宋体" w:eastAsia="仿宋_GB2312"/>
          <w:sz w:val="28"/>
          <w:szCs w:val="28"/>
        </w:rPr>
        <w:t xml:space="preserve"> </w:t>
      </w:r>
      <w:r>
        <w:rPr>
          <w:rFonts w:hint="eastAsia" w:ascii="仿宋_GB2312" w:hAnsi="宋体" w:eastAsia="仿宋_GB2312"/>
          <w:sz w:val="28"/>
          <w:szCs w:val="28"/>
        </w:rPr>
        <w:t xml:space="preserve">  </w:t>
      </w:r>
      <w:r>
        <w:rPr>
          <w:rFonts w:hint="eastAsia" w:ascii="仿宋_GB2312" w:hAnsi="宋体" w:eastAsia="仿宋_GB2312"/>
          <w:sz w:val="24"/>
        </w:rPr>
        <w:t>（2022年度）</w:t>
      </w:r>
    </w:p>
    <w:tbl>
      <w:tblPr>
        <w:tblStyle w:val="8"/>
        <w:tblW w:w="10110" w:type="dxa"/>
        <w:jc w:val="center"/>
        <w:tblLayout w:type="fixed"/>
        <w:tblCellMar>
          <w:top w:w="0" w:type="dxa"/>
          <w:left w:w="108" w:type="dxa"/>
          <w:bottom w:w="0" w:type="dxa"/>
          <w:right w:w="108" w:type="dxa"/>
        </w:tblCellMar>
      </w:tblPr>
      <w:tblGrid>
        <w:gridCol w:w="497"/>
        <w:gridCol w:w="888"/>
        <w:gridCol w:w="1125"/>
        <w:gridCol w:w="882"/>
        <w:gridCol w:w="1127"/>
        <w:gridCol w:w="397"/>
        <w:gridCol w:w="725"/>
        <w:gridCol w:w="390"/>
        <w:gridCol w:w="825"/>
        <w:gridCol w:w="413"/>
        <w:gridCol w:w="640"/>
        <w:gridCol w:w="47"/>
        <w:gridCol w:w="654"/>
        <w:gridCol w:w="262"/>
        <w:gridCol w:w="1238"/>
      </w:tblGrid>
      <w:tr>
        <w:tblPrEx>
          <w:tblCellMar>
            <w:top w:w="0" w:type="dxa"/>
            <w:left w:w="108" w:type="dxa"/>
            <w:bottom w:w="0" w:type="dxa"/>
            <w:right w:w="108" w:type="dxa"/>
          </w:tblCellMar>
        </w:tblPrEx>
        <w:trPr>
          <w:trHeight w:val="306" w:hRule="exact"/>
          <w:jc w:val="center"/>
        </w:trPr>
        <w:tc>
          <w:tcPr>
            <w:tcW w:w="138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项目名称</w:t>
            </w:r>
          </w:p>
        </w:tc>
        <w:tc>
          <w:tcPr>
            <w:tcW w:w="8725" w:type="dxa"/>
            <w:gridSpan w:val="1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特高建设—特高院校—提升学校治理水平</w:t>
            </w:r>
          </w:p>
        </w:tc>
      </w:tr>
      <w:tr>
        <w:tblPrEx>
          <w:tblCellMar>
            <w:top w:w="0" w:type="dxa"/>
            <w:left w:w="108" w:type="dxa"/>
            <w:bottom w:w="0" w:type="dxa"/>
            <w:right w:w="108" w:type="dxa"/>
          </w:tblCellMar>
        </w:tblPrEx>
        <w:trPr>
          <w:trHeight w:val="821" w:hRule="exact"/>
          <w:jc w:val="center"/>
        </w:trPr>
        <w:tc>
          <w:tcPr>
            <w:tcW w:w="138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主管部门</w:t>
            </w:r>
          </w:p>
        </w:tc>
        <w:tc>
          <w:tcPr>
            <w:tcW w:w="425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北京一商集团有限责任公司</w:t>
            </w:r>
          </w:p>
        </w:tc>
        <w:tc>
          <w:tcPr>
            <w:tcW w:w="121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实施单位</w:t>
            </w:r>
          </w:p>
        </w:tc>
        <w:tc>
          <w:tcPr>
            <w:tcW w:w="325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北京市商业学校（北京祥龙资产经营有限责任公司党校）</w:t>
            </w:r>
          </w:p>
        </w:tc>
      </w:tr>
      <w:tr>
        <w:tblPrEx>
          <w:tblCellMar>
            <w:top w:w="0" w:type="dxa"/>
            <w:left w:w="108" w:type="dxa"/>
            <w:bottom w:w="0" w:type="dxa"/>
            <w:right w:w="108" w:type="dxa"/>
          </w:tblCellMar>
        </w:tblPrEx>
        <w:trPr>
          <w:trHeight w:val="306" w:hRule="exact"/>
          <w:jc w:val="center"/>
        </w:trPr>
        <w:tc>
          <w:tcPr>
            <w:tcW w:w="138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项目负责人</w:t>
            </w:r>
          </w:p>
        </w:tc>
        <w:tc>
          <w:tcPr>
            <w:tcW w:w="4256" w:type="dxa"/>
            <w:gridSpan w:val="5"/>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highlight w:val="none"/>
                <w:lang w:eastAsia="zh-CN"/>
              </w:rPr>
            </w:pPr>
            <w:r>
              <w:rPr>
                <w:rFonts w:hint="eastAsia" w:ascii="仿宋" w:hAnsi="仿宋" w:eastAsia="仿宋" w:cs="仿宋"/>
                <w:kern w:val="0"/>
                <w:szCs w:val="21"/>
                <w:highlight w:val="none"/>
                <w:lang w:val="en-US" w:eastAsia="zh-CN"/>
              </w:rPr>
              <w:t>陈又瑜</w:t>
            </w:r>
          </w:p>
        </w:tc>
        <w:tc>
          <w:tcPr>
            <w:tcW w:w="1215"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联系电话</w:t>
            </w:r>
          </w:p>
        </w:tc>
        <w:tc>
          <w:tcPr>
            <w:tcW w:w="325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highlight w:val="none"/>
                <w:lang w:val="en-US" w:eastAsia="zh-CN"/>
              </w:rPr>
            </w:pPr>
            <w:r>
              <w:rPr>
                <w:rFonts w:hint="eastAsia" w:ascii="仿宋" w:hAnsi="仿宋" w:eastAsia="仿宋" w:cs="仿宋"/>
                <w:kern w:val="0"/>
                <w:szCs w:val="21"/>
                <w:highlight w:val="none"/>
                <w:lang w:val="en-US" w:eastAsia="zh-CN"/>
              </w:rPr>
              <w:t>13683169600</w:t>
            </w:r>
          </w:p>
        </w:tc>
      </w:tr>
      <w:tr>
        <w:tblPrEx>
          <w:tblCellMar>
            <w:top w:w="0" w:type="dxa"/>
            <w:left w:w="108" w:type="dxa"/>
            <w:bottom w:w="0" w:type="dxa"/>
            <w:right w:w="108" w:type="dxa"/>
          </w:tblCellMar>
        </w:tblPrEx>
        <w:trPr>
          <w:trHeight w:val="567" w:hRule="exact"/>
          <w:jc w:val="center"/>
        </w:trPr>
        <w:tc>
          <w:tcPr>
            <w:tcW w:w="1385" w:type="dxa"/>
            <w:gridSpan w:val="2"/>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项目资金</w:t>
            </w:r>
            <w:r>
              <w:rPr>
                <w:rFonts w:hint="eastAsia" w:ascii="仿宋" w:hAnsi="仿宋" w:eastAsia="仿宋" w:cs="仿宋"/>
                <w:kern w:val="0"/>
                <w:szCs w:val="21"/>
              </w:rPr>
              <w:br w:type="textWrapping"/>
            </w:r>
            <w:r>
              <w:rPr>
                <w:rFonts w:hint="eastAsia" w:ascii="仿宋" w:hAnsi="仿宋" w:eastAsia="仿宋" w:cs="仿宋"/>
                <w:kern w:val="0"/>
                <w:szCs w:val="21"/>
              </w:rPr>
              <w:t>（万元）</w:t>
            </w:r>
          </w:p>
        </w:tc>
        <w:tc>
          <w:tcPr>
            <w:tcW w:w="20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年初预</w:t>
            </w:r>
          </w:p>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算数</w:t>
            </w:r>
          </w:p>
        </w:tc>
        <w:tc>
          <w:tcPr>
            <w:tcW w:w="112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全年预</w:t>
            </w:r>
          </w:p>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算数</w:t>
            </w:r>
          </w:p>
        </w:tc>
        <w:tc>
          <w:tcPr>
            <w:tcW w:w="1215" w:type="dxa"/>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全年</w:t>
            </w:r>
          </w:p>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执行数</w:t>
            </w:r>
          </w:p>
        </w:tc>
        <w:tc>
          <w:tcPr>
            <w:tcW w:w="105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分值</w:t>
            </w:r>
          </w:p>
        </w:tc>
        <w:tc>
          <w:tcPr>
            <w:tcW w:w="9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执行率</w:t>
            </w:r>
          </w:p>
        </w:tc>
        <w:tc>
          <w:tcPr>
            <w:tcW w:w="1238" w:type="dxa"/>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得分</w:t>
            </w:r>
          </w:p>
        </w:tc>
      </w:tr>
      <w:tr>
        <w:tblPrEx>
          <w:tblCellMar>
            <w:top w:w="0" w:type="dxa"/>
            <w:left w:w="108" w:type="dxa"/>
            <w:bottom w:w="0" w:type="dxa"/>
            <w:right w:w="108" w:type="dxa"/>
          </w:tblCellMar>
        </w:tblPrEx>
        <w:trPr>
          <w:trHeight w:val="258" w:hRule="exact"/>
          <w:jc w:val="center"/>
        </w:trPr>
        <w:tc>
          <w:tcPr>
            <w:tcW w:w="138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00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 w:hAnsi="仿宋" w:eastAsia="仿宋" w:cs="仿宋"/>
                <w:kern w:val="0"/>
                <w:szCs w:val="21"/>
              </w:rPr>
            </w:pPr>
            <w:r>
              <w:rPr>
                <w:rFonts w:hint="eastAsia" w:ascii="仿宋" w:hAnsi="仿宋" w:eastAsia="仿宋" w:cs="仿宋"/>
                <w:kern w:val="0"/>
                <w:szCs w:val="21"/>
              </w:rPr>
              <w:t>年度资金总额</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224.318</w:t>
            </w:r>
          </w:p>
        </w:tc>
        <w:tc>
          <w:tcPr>
            <w:tcW w:w="112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205</w:t>
            </w:r>
            <w:r>
              <w:rPr>
                <w:rFonts w:hint="eastAsia" w:ascii="仿宋" w:hAnsi="仿宋" w:eastAsia="仿宋" w:cs="仿宋"/>
                <w:kern w:val="0"/>
                <w:szCs w:val="21"/>
                <w:lang w:val="en-US" w:eastAsia="zh-CN"/>
              </w:rPr>
              <w:t>.</w:t>
            </w:r>
            <w:r>
              <w:rPr>
                <w:rFonts w:hint="eastAsia" w:ascii="仿宋" w:hAnsi="仿宋" w:eastAsia="仿宋" w:cs="仿宋"/>
                <w:kern w:val="0"/>
                <w:szCs w:val="21"/>
              </w:rPr>
              <w:t>018</w:t>
            </w:r>
          </w:p>
        </w:tc>
        <w:tc>
          <w:tcPr>
            <w:tcW w:w="1215" w:type="dxa"/>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177</w:t>
            </w:r>
            <w:r>
              <w:rPr>
                <w:rFonts w:hint="eastAsia" w:ascii="仿宋" w:hAnsi="仿宋" w:eastAsia="仿宋" w:cs="仿宋"/>
                <w:kern w:val="0"/>
                <w:szCs w:val="21"/>
                <w:lang w:val="en-US" w:eastAsia="zh-CN"/>
              </w:rPr>
              <w:t>.</w:t>
            </w:r>
            <w:r>
              <w:rPr>
                <w:rFonts w:hint="eastAsia" w:ascii="仿宋" w:hAnsi="仿宋" w:eastAsia="仿宋" w:cs="仿宋"/>
                <w:kern w:val="0"/>
                <w:szCs w:val="21"/>
              </w:rPr>
              <w:t>3805</w:t>
            </w:r>
          </w:p>
        </w:tc>
        <w:tc>
          <w:tcPr>
            <w:tcW w:w="105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9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8</w:t>
            </w:r>
            <w:r>
              <w:rPr>
                <w:rFonts w:hint="eastAsia" w:ascii="仿宋" w:hAnsi="仿宋" w:eastAsia="仿宋" w:cs="仿宋"/>
                <w:kern w:val="0"/>
                <w:szCs w:val="21"/>
                <w:lang w:val="en-US" w:eastAsia="zh-CN"/>
              </w:rPr>
              <w:t>6.5</w:t>
            </w:r>
            <w:r>
              <w:rPr>
                <w:rFonts w:hint="eastAsia" w:ascii="仿宋" w:hAnsi="仿宋" w:eastAsia="仿宋" w:cs="仿宋"/>
                <w:kern w:val="0"/>
                <w:szCs w:val="21"/>
              </w:rPr>
              <w:t>%</w:t>
            </w:r>
          </w:p>
        </w:tc>
        <w:tc>
          <w:tcPr>
            <w:tcW w:w="1238" w:type="dxa"/>
            <w:tcBorders>
              <w:top w:val="nil"/>
              <w:left w:val="nil"/>
              <w:bottom w:val="single" w:color="auto" w:sz="4" w:space="0"/>
              <w:right w:val="single" w:color="auto" w:sz="4" w:space="0"/>
            </w:tcBorders>
            <w:vAlign w:val="center"/>
          </w:tcPr>
          <w:p>
            <w:pPr>
              <w:widowControl/>
              <w:spacing w:line="240" w:lineRule="exact"/>
              <w:jc w:val="center"/>
              <w:rPr>
                <w:rFonts w:hint="default" w:ascii="仿宋" w:hAnsi="仿宋" w:eastAsia="仿宋" w:cs="仿宋"/>
                <w:kern w:val="0"/>
                <w:szCs w:val="21"/>
                <w:lang w:val="en-US" w:eastAsia="zh-CN"/>
              </w:rPr>
            </w:pPr>
            <w:r>
              <w:rPr>
                <w:rFonts w:hint="eastAsia" w:ascii="仿宋" w:hAnsi="仿宋" w:eastAsia="仿宋" w:cs="仿宋"/>
                <w:kern w:val="0"/>
                <w:szCs w:val="21"/>
              </w:rPr>
              <w:t>8.</w:t>
            </w:r>
            <w:r>
              <w:rPr>
                <w:rFonts w:hint="eastAsia" w:ascii="仿宋" w:hAnsi="仿宋" w:eastAsia="仿宋" w:cs="仿宋"/>
                <w:kern w:val="0"/>
                <w:szCs w:val="21"/>
                <w:lang w:val="en-US" w:eastAsia="zh-CN"/>
              </w:rPr>
              <w:t>65</w:t>
            </w:r>
          </w:p>
        </w:tc>
      </w:tr>
      <w:tr>
        <w:tblPrEx>
          <w:tblCellMar>
            <w:top w:w="0" w:type="dxa"/>
            <w:left w:w="108" w:type="dxa"/>
            <w:bottom w:w="0" w:type="dxa"/>
            <w:right w:w="108" w:type="dxa"/>
          </w:tblCellMar>
        </w:tblPrEx>
        <w:trPr>
          <w:trHeight w:val="272" w:hRule="exact"/>
          <w:jc w:val="center"/>
        </w:trPr>
        <w:tc>
          <w:tcPr>
            <w:tcW w:w="138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007"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 w:hAnsi="仿宋" w:eastAsia="仿宋" w:cs="仿宋"/>
                <w:kern w:val="0"/>
                <w:szCs w:val="21"/>
              </w:rPr>
            </w:pPr>
            <w:r>
              <w:rPr>
                <w:rFonts w:hint="eastAsia" w:ascii="仿宋" w:hAnsi="仿宋" w:eastAsia="仿宋" w:cs="仿宋"/>
                <w:kern w:val="0"/>
                <w:szCs w:val="21"/>
              </w:rPr>
              <w:t>其中：当年财政拨款</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224.318</w:t>
            </w:r>
          </w:p>
        </w:tc>
        <w:tc>
          <w:tcPr>
            <w:tcW w:w="112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205</w:t>
            </w:r>
            <w:r>
              <w:rPr>
                <w:rFonts w:hint="eastAsia" w:ascii="仿宋" w:hAnsi="仿宋" w:eastAsia="仿宋" w:cs="仿宋"/>
                <w:kern w:val="0"/>
                <w:szCs w:val="21"/>
                <w:lang w:val="en-US" w:eastAsia="zh-CN"/>
              </w:rPr>
              <w:t>.</w:t>
            </w:r>
            <w:r>
              <w:rPr>
                <w:rFonts w:hint="eastAsia" w:ascii="仿宋" w:hAnsi="仿宋" w:eastAsia="仿宋" w:cs="仿宋"/>
                <w:kern w:val="0"/>
                <w:szCs w:val="21"/>
              </w:rPr>
              <w:t>018</w:t>
            </w:r>
          </w:p>
        </w:tc>
        <w:tc>
          <w:tcPr>
            <w:tcW w:w="1215" w:type="dxa"/>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177</w:t>
            </w:r>
            <w:r>
              <w:rPr>
                <w:rFonts w:hint="eastAsia" w:ascii="仿宋" w:hAnsi="仿宋" w:eastAsia="仿宋" w:cs="仿宋"/>
                <w:kern w:val="0"/>
                <w:szCs w:val="21"/>
                <w:lang w:val="en-US" w:eastAsia="zh-CN"/>
              </w:rPr>
              <w:t>.</w:t>
            </w:r>
            <w:r>
              <w:rPr>
                <w:rFonts w:hint="eastAsia" w:ascii="仿宋" w:hAnsi="仿宋" w:eastAsia="仿宋" w:cs="仿宋"/>
                <w:kern w:val="0"/>
                <w:szCs w:val="21"/>
              </w:rPr>
              <w:t>3805</w:t>
            </w:r>
          </w:p>
        </w:tc>
        <w:tc>
          <w:tcPr>
            <w:tcW w:w="105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9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238" w:type="dxa"/>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r>
        <w:tblPrEx>
          <w:tblCellMar>
            <w:top w:w="0" w:type="dxa"/>
            <w:left w:w="108" w:type="dxa"/>
            <w:bottom w:w="0" w:type="dxa"/>
            <w:right w:w="108" w:type="dxa"/>
          </w:tblCellMar>
        </w:tblPrEx>
        <w:trPr>
          <w:trHeight w:val="274" w:hRule="exact"/>
          <w:jc w:val="center"/>
        </w:trPr>
        <w:tc>
          <w:tcPr>
            <w:tcW w:w="138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0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 xml:space="preserve">     上年结转资金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215" w:type="dxa"/>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05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9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238" w:type="dxa"/>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r>
        <w:tblPrEx>
          <w:tblCellMar>
            <w:top w:w="0" w:type="dxa"/>
            <w:left w:w="108" w:type="dxa"/>
            <w:bottom w:w="0" w:type="dxa"/>
            <w:right w:w="108" w:type="dxa"/>
          </w:tblCellMar>
        </w:tblPrEx>
        <w:trPr>
          <w:trHeight w:val="258" w:hRule="exact"/>
          <w:jc w:val="center"/>
        </w:trPr>
        <w:tc>
          <w:tcPr>
            <w:tcW w:w="1385"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00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 xml:space="preserve"> 其他资金</w:t>
            </w:r>
          </w:p>
        </w:tc>
        <w:tc>
          <w:tcPr>
            <w:tcW w:w="1127" w:type="dxa"/>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2"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215" w:type="dxa"/>
            <w:gridSpan w:val="2"/>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053" w:type="dxa"/>
            <w:gridSpan w:val="2"/>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c>
          <w:tcPr>
            <w:tcW w:w="963"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238" w:type="dxa"/>
            <w:tcBorders>
              <w:top w:val="nil"/>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w:t>
            </w:r>
          </w:p>
        </w:tc>
      </w:tr>
      <w:tr>
        <w:tblPrEx>
          <w:tblCellMar>
            <w:top w:w="0" w:type="dxa"/>
            <w:left w:w="108" w:type="dxa"/>
            <w:bottom w:w="0" w:type="dxa"/>
            <w:right w:w="108" w:type="dxa"/>
          </w:tblCellMar>
        </w:tblPrEx>
        <w:trPr>
          <w:trHeight w:val="353" w:hRule="exact"/>
          <w:jc w:val="center"/>
        </w:trPr>
        <w:tc>
          <w:tcPr>
            <w:tcW w:w="497" w:type="dxa"/>
            <w:vMerge w:val="restart"/>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年度总体目标</w:t>
            </w:r>
          </w:p>
        </w:tc>
        <w:tc>
          <w:tcPr>
            <w:tcW w:w="5144" w:type="dxa"/>
            <w:gridSpan w:val="6"/>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预期目标</w:t>
            </w:r>
          </w:p>
        </w:tc>
        <w:tc>
          <w:tcPr>
            <w:tcW w:w="4469" w:type="dxa"/>
            <w:gridSpan w:val="8"/>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实际完成情况</w:t>
            </w:r>
          </w:p>
        </w:tc>
      </w:tr>
      <w:tr>
        <w:tblPrEx>
          <w:tblCellMar>
            <w:top w:w="0" w:type="dxa"/>
            <w:left w:w="108" w:type="dxa"/>
            <w:bottom w:w="0" w:type="dxa"/>
            <w:right w:w="108" w:type="dxa"/>
          </w:tblCellMar>
        </w:tblPrEx>
        <w:trPr>
          <w:trHeight w:val="9617" w:hRule="exact"/>
          <w:jc w:val="center"/>
        </w:trPr>
        <w:tc>
          <w:tcPr>
            <w:tcW w:w="497" w:type="dxa"/>
            <w:vMerge w:val="continue"/>
            <w:tcBorders>
              <w:top w:val="nil"/>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4419" w:type="dxa"/>
            <w:gridSpan w:val="5"/>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仿宋" w:hAnsi="仿宋" w:eastAsia="仿宋" w:cs="仿宋"/>
                <w:b/>
                <w:bCs/>
                <w:kern w:val="0"/>
                <w:sz w:val="18"/>
                <w:szCs w:val="18"/>
              </w:rPr>
            </w:pPr>
            <w:r>
              <w:rPr>
                <w:rFonts w:hint="eastAsia" w:ascii="仿宋" w:hAnsi="仿宋" w:eastAsia="仿宋" w:cs="仿宋"/>
                <w:b/>
                <w:bCs/>
                <w:kern w:val="0"/>
                <w:sz w:val="18"/>
                <w:szCs w:val="18"/>
              </w:rPr>
              <w:t>项目预期目标：（2020年—2022年）</w:t>
            </w:r>
          </w:p>
          <w:p>
            <w:pPr>
              <w:widowControl/>
              <w:spacing w:line="340" w:lineRule="exact"/>
              <w:ind w:firstLine="360" w:firstLineChars="200"/>
              <w:rPr>
                <w:rFonts w:hint="eastAsia" w:ascii="仿宋" w:hAnsi="仿宋" w:eastAsia="仿宋" w:cs="仿宋"/>
                <w:kern w:val="0"/>
                <w:sz w:val="18"/>
                <w:szCs w:val="18"/>
              </w:rPr>
            </w:pPr>
            <w:r>
              <w:rPr>
                <w:rFonts w:hint="eastAsia" w:ascii="仿宋" w:hAnsi="仿宋" w:eastAsia="仿宋" w:cs="仿宋"/>
                <w:kern w:val="0"/>
                <w:sz w:val="18"/>
                <w:szCs w:val="18"/>
              </w:rPr>
              <w:t>全面提升学校治理水平。总结提炼学校办学理念，面向社会宣传示范推广，充分发挥特高校引领示范作用。健全多元治理机构设置，建成依法办学治校、民主监督管理、多元协同共治的现代职业学校治理结构。推进职能部门由管理型向服务保障型转型，形成“责权利”相统一的管理运行模式,建成科学规范、运行有效的现代职业学校制度体系。打造适应学校未来发展的高素质人才队伍，实现从“共治”到“善治”的转变。工作机制科学高效，整体治理水平和协同治理能力明显提升。实现数据协同、个性化推送、精细化管理，全面服务办学治校，提升治理能力现代化水平。实现项目监督经常化、规范化、标准化，全面完成特高项目建设目标。建立健全学校评价标准体系，形成多元参与、立体监督、全面风险防控的内控监督体系。本项目三年预算总金额523.024万元。</w:t>
            </w:r>
          </w:p>
          <w:p>
            <w:pPr>
              <w:widowControl/>
              <w:spacing w:line="340" w:lineRule="exact"/>
              <w:rPr>
                <w:rFonts w:hint="eastAsia" w:ascii="仿宋" w:hAnsi="仿宋" w:eastAsia="仿宋" w:cs="仿宋"/>
                <w:b/>
                <w:bCs/>
                <w:kern w:val="0"/>
                <w:sz w:val="18"/>
                <w:szCs w:val="18"/>
              </w:rPr>
            </w:pPr>
            <w:r>
              <w:rPr>
                <w:rFonts w:hint="eastAsia" w:ascii="仿宋" w:hAnsi="仿宋" w:eastAsia="仿宋" w:cs="仿宋"/>
                <w:b/>
                <w:bCs/>
                <w:kern w:val="0"/>
                <w:sz w:val="18"/>
                <w:szCs w:val="18"/>
              </w:rPr>
              <w:t>年度目标（2022年）：</w:t>
            </w:r>
          </w:p>
          <w:p>
            <w:pPr>
              <w:widowControl/>
              <w:spacing w:line="340" w:lineRule="exact"/>
              <w:ind w:firstLine="361" w:firstLineChars="200"/>
              <w:rPr>
                <w:rFonts w:hint="eastAsia" w:ascii="仿宋" w:hAnsi="仿宋" w:eastAsia="仿宋" w:cs="仿宋"/>
                <w:kern w:val="0"/>
                <w:sz w:val="18"/>
                <w:szCs w:val="18"/>
              </w:rPr>
            </w:pPr>
            <w:r>
              <w:rPr>
                <w:rFonts w:hint="eastAsia" w:ascii="仿宋" w:hAnsi="仿宋" w:eastAsia="仿宋" w:cs="仿宋"/>
                <w:b/>
                <w:bCs/>
                <w:kern w:val="0"/>
                <w:sz w:val="18"/>
                <w:szCs w:val="18"/>
              </w:rPr>
              <w:t>一是</w:t>
            </w:r>
            <w:r>
              <w:rPr>
                <w:rFonts w:hint="eastAsia" w:ascii="仿宋" w:hAnsi="仿宋" w:eastAsia="仿宋" w:cs="仿宋"/>
                <w:kern w:val="0"/>
                <w:sz w:val="18"/>
                <w:szCs w:val="18"/>
              </w:rPr>
              <w:t>深入总结提炼学校办学理念的人文内涵，彰显“具有首都国企办学特色的商科职业院校办学理念”特质，结合学校整体品牌形象，面向社会宣传示范推广，充分发挥特高校引领示范作用；</w:t>
            </w:r>
          </w:p>
          <w:p>
            <w:pPr>
              <w:widowControl/>
              <w:spacing w:line="340" w:lineRule="exact"/>
              <w:ind w:firstLine="361" w:firstLineChars="200"/>
              <w:rPr>
                <w:rFonts w:hint="eastAsia" w:ascii="仿宋" w:hAnsi="仿宋" w:eastAsia="仿宋" w:cs="仿宋"/>
                <w:kern w:val="0"/>
                <w:szCs w:val="21"/>
              </w:rPr>
            </w:pPr>
            <w:r>
              <w:rPr>
                <w:rFonts w:hint="eastAsia" w:ascii="仿宋" w:hAnsi="仿宋" w:eastAsia="仿宋" w:cs="仿宋"/>
                <w:b/>
                <w:bCs/>
                <w:kern w:val="0"/>
                <w:sz w:val="18"/>
                <w:szCs w:val="18"/>
              </w:rPr>
              <w:t>二是</w:t>
            </w:r>
            <w:r>
              <w:rPr>
                <w:rFonts w:hint="eastAsia" w:ascii="仿宋" w:hAnsi="仿宋" w:eastAsia="仿宋" w:cs="仿宋"/>
                <w:kern w:val="0"/>
                <w:sz w:val="18"/>
                <w:szCs w:val="18"/>
              </w:rPr>
              <w:t>健全多元治理机构设置，加大行业、企业、家长、第三方参与学校治理程度，建成依法办学治校、民主监督管理、多元协同共治的现代职业学校治理结构。加快推进组织机构职能、权限、程序、责任制度化和工作标准化建设，推进职能部门由管理型向服务保障型转型。深化校系（部）两级管理体制改革，形成“责权利”相统一的管理运行模式。持续推进部分</w:t>
            </w:r>
          </w:p>
        </w:tc>
        <w:tc>
          <w:tcPr>
            <w:tcW w:w="5194" w:type="dxa"/>
            <w:gridSpan w:val="9"/>
            <w:tcBorders>
              <w:top w:val="single" w:color="auto" w:sz="4" w:space="0"/>
              <w:left w:val="nil"/>
              <w:bottom w:val="single" w:color="auto" w:sz="4" w:space="0"/>
              <w:right w:val="single" w:color="auto" w:sz="4" w:space="0"/>
            </w:tcBorders>
            <w:vAlign w:val="center"/>
          </w:tcPr>
          <w:p>
            <w:pPr>
              <w:widowControl/>
              <w:spacing w:line="340" w:lineRule="exact"/>
              <w:jc w:val="left"/>
              <w:rPr>
                <w:rFonts w:hint="eastAsia" w:ascii="仿宋" w:hAnsi="仿宋" w:eastAsia="仿宋" w:cs="仿宋"/>
                <w:b/>
                <w:bCs/>
                <w:kern w:val="0"/>
                <w:sz w:val="18"/>
                <w:szCs w:val="18"/>
              </w:rPr>
            </w:pPr>
            <w:r>
              <w:rPr>
                <w:rFonts w:hint="eastAsia" w:ascii="仿宋" w:hAnsi="仿宋" w:eastAsia="仿宋" w:cs="仿宋"/>
                <w:b/>
                <w:bCs/>
                <w:kern w:val="0"/>
                <w:sz w:val="18"/>
                <w:szCs w:val="18"/>
              </w:rPr>
              <w:t>2022年，项目组严格按照任务书开展项目建设。</w:t>
            </w:r>
          </w:p>
          <w:p>
            <w:pPr>
              <w:widowControl/>
              <w:spacing w:line="340" w:lineRule="exact"/>
              <w:ind w:firstLine="361" w:firstLineChars="200"/>
              <w:jc w:val="left"/>
              <w:rPr>
                <w:rFonts w:hint="eastAsia" w:ascii="仿宋" w:hAnsi="仿宋" w:eastAsia="仿宋" w:cs="仿宋"/>
                <w:kern w:val="0"/>
                <w:sz w:val="18"/>
                <w:szCs w:val="18"/>
              </w:rPr>
            </w:pPr>
            <w:r>
              <w:rPr>
                <w:rFonts w:hint="eastAsia" w:ascii="仿宋" w:hAnsi="仿宋" w:eastAsia="仿宋" w:cs="仿宋"/>
                <w:b/>
                <w:bCs/>
                <w:kern w:val="0"/>
                <w:sz w:val="18"/>
                <w:szCs w:val="18"/>
              </w:rPr>
              <w:t>一是</w:t>
            </w:r>
            <w:r>
              <w:rPr>
                <w:rFonts w:hint="eastAsia" w:ascii="仿宋" w:hAnsi="仿宋" w:eastAsia="仿宋" w:cs="仿宋"/>
                <w:kern w:val="0"/>
                <w:sz w:val="18"/>
                <w:szCs w:val="18"/>
              </w:rPr>
              <w:t>强化办学理念。深入总结提炼学校办学理念内涵特质，结合学校形象和重点工作，加强宣传示范推广，全年被《METROPOLITAN》、人民网、央视直播、中国教育报等多家国际国内主流媒体宣传报道30余次。在中国职业技术教育学会“学新法、践新法、开新局”论坛“职业教育办学治理”分论坛、2022年职业院校宣传工作论坛、教育部“悦读伴我成长”职教学生读党报活动启动仪式等全国性重要会议活动中作典型发言或经验分享，学校影响力和特高校引领示范作用持续扩大；</w:t>
            </w:r>
          </w:p>
          <w:p>
            <w:pPr>
              <w:widowControl/>
              <w:spacing w:line="340" w:lineRule="exact"/>
              <w:ind w:firstLine="361" w:firstLineChars="200"/>
              <w:jc w:val="left"/>
              <w:rPr>
                <w:rFonts w:hint="eastAsia" w:ascii="仿宋" w:hAnsi="仿宋" w:eastAsia="仿宋" w:cs="仿宋"/>
                <w:kern w:val="0"/>
                <w:sz w:val="18"/>
                <w:szCs w:val="18"/>
              </w:rPr>
            </w:pPr>
            <w:r>
              <w:rPr>
                <w:rFonts w:hint="eastAsia" w:ascii="仿宋" w:hAnsi="仿宋" w:eastAsia="仿宋" w:cs="仿宋"/>
                <w:b/>
                <w:bCs/>
                <w:kern w:val="0"/>
                <w:sz w:val="18"/>
                <w:szCs w:val="18"/>
              </w:rPr>
              <w:t>二是</w:t>
            </w:r>
            <w:r>
              <w:rPr>
                <w:rFonts w:hint="eastAsia" w:ascii="仿宋" w:hAnsi="仿宋" w:eastAsia="仿宋" w:cs="仿宋"/>
                <w:kern w:val="0"/>
                <w:sz w:val="18"/>
                <w:szCs w:val="18"/>
              </w:rPr>
              <w:t>完善多元治理结构。系统修订学校制度239项，正式发文32项，建成科学规范、运行有效的现代职业学校制度体系。修订完善三重一大、党委会、校长办公会议事规则和决策程序，健全民主决策、科学决策、依法决策、集中决策机制，规范决策行为，提高决策水平，防范决策风险。规范学术委员会、教材委员会等治理主体履职议事程序，优化人员配置，完善工作机制，提升治理能动性。加大行业、企业、家长、第三方参与学校治理程度，有机融合内部外部治理结构，建成依法办学治校、民主监督管理、多元协同共治的现代职业学校治理结构。组织开展调研，制定学校综合配套改革工作方案，推进机构职能、权限、程序、责任制度化和工作标准化建设，推进职能部门由管理型向服务保障型转型；</w:t>
            </w:r>
          </w:p>
          <w:p>
            <w:pPr>
              <w:widowControl/>
              <w:spacing w:line="340" w:lineRule="exact"/>
              <w:ind w:firstLine="361" w:firstLineChars="200"/>
              <w:jc w:val="left"/>
              <w:rPr>
                <w:rFonts w:hint="eastAsia" w:ascii="仿宋" w:hAnsi="仿宋" w:eastAsia="仿宋" w:cs="仿宋"/>
                <w:kern w:val="0"/>
                <w:sz w:val="18"/>
                <w:szCs w:val="18"/>
              </w:rPr>
            </w:pPr>
            <w:r>
              <w:rPr>
                <w:rFonts w:hint="eastAsia" w:ascii="仿宋" w:hAnsi="仿宋" w:eastAsia="仿宋" w:cs="仿宋"/>
                <w:b/>
                <w:bCs/>
                <w:kern w:val="0"/>
                <w:sz w:val="18"/>
                <w:szCs w:val="18"/>
              </w:rPr>
              <w:t>三是</w:t>
            </w:r>
            <w:r>
              <w:rPr>
                <w:rFonts w:hint="eastAsia" w:ascii="仿宋" w:hAnsi="仿宋" w:eastAsia="仿宋" w:cs="仿宋"/>
                <w:kern w:val="0"/>
                <w:sz w:val="18"/>
                <w:szCs w:val="18"/>
              </w:rPr>
              <w:t>提升治理能力。建立健全师德师风建设长效机制，构建“树形”师资队伍培育模式，打造“双高双强”教师队伍。以人为本，持续实施分层分类专题培训，加强人才梯队建设，打造适应学校未来发展的高素质人才队伍，实现从“共治”到“善治”的转变。完成学校大数据中心建设，消除信息孤岛，实现数据协同、个性化推送、精细化管理，全面服务办学治校，提升治理能力现代化水平；</w:t>
            </w:r>
          </w:p>
          <w:p>
            <w:pPr>
              <w:widowControl/>
              <w:spacing w:line="340" w:lineRule="exact"/>
              <w:ind w:firstLine="440" w:firstLineChars="200"/>
              <w:jc w:val="left"/>
              <w:rPr>
                <w:rFonts w:hint="eastAsia" w:ascii="仿宋" w:hAnsi="仿宋" w:eastAsia="仿宋" w:cs="仿宋"/>
                <w:kern w:val="0"/>
                <w:sz w:val="22"/>
                <w:szCs w:val="22"/>
              </w:rPr>
            </w:pPr>
            <w:r>
              <w:rPr>
                <w:rFonts w:hint="eastAsia" w:ascii="仿宋" w:hAnsi="仿宋" w:eastAsia="仿宋" w:cs="仿宋"/>
                <w:kern w:val="0"/>
                <w:sz w:val="22"/>
                <w:szCs w:val="22"/>
              </w:rPr>
              <w:t>四是加强质量保障：坚持国企办学特色，严格落实事业单位、国有企业“双标”管理，实施全面质量管理、内部管理和风险管理，为学校事业发展行稳致远保驾护航。梳理重要管理流程中的风险点，评定风险等级，完善重大风险防控机制，提升防范化解重大风险能力。加强内控管理和合规管理，修订学校内控</w:t>
            </w:r>
          </w:p>
        </w:tc>
      </w:tr>
      <w:tr>
        <w:tblPrEx>
          <w:tblCellMar>
            <w:top w:w="0" w:type="dxa"/>
            <w:left w:w="108" w:type="dxa"/>
            <w:bottom w:w="0" w:type="dxa"/>
            <w:right w:w="108" w:type="dxa"/>
          </w:tblCellMar>
        </w:tblPrEx>
        <w:trPr>
          <w:trHeight w:val="5875" w:hRule="exact"/>
          <w:jc w:val="center"/>
        </w:trPr>
        <w:tc>
          <w:tcPr>
            <w:tcW w:w="497"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绩</w:t>
            </w:r>
            <w:r>
              <w:rPr>
                <w:rFonts w:hint="eastAsia" w:ascii="仿宋" w:hAnsi="仿宋" w:eastAsia="仿宋" w:cs="仿宋"/>
                <w:kern w:val="0"/>
                <w:szCs w:val="21"/>
              </w:rPr>
              <w:br w:type="textWrapping"/>
            </w:r>
            <w:r>
              <w:rPr>
                <w:rFonts w:hint="eastAsia" w:ascii="仿宋" w:hAnsi="仿宋" w:eastAsia="仿宋" w:cs="仿宋"/>
                <w:kern w:val="0"/>
                <w:szCs w:val="21"/>
              </w:rPr>
              <w:t>效</w:t>
            </w:r>
            <w:r>
              <w:rPr>
                <w:rFonts w:hint="eastAsia" w:ascii="仿宋" w:hAnsi="仿宋" w:eastAsia="仿宋" w:cs="仿宋"/>
                <w:kern w:val="0"/>
                <w:szCs w:val="21"/>
              </w:rPr>
              <w:br w:type="textWrapping"/>
            </w:r>
            <w:r>
              <w:rPr>
                <w:rFonts w:hint="eastAsia" w:ascii="仿宋" w:hAnsi="仿宋" w:eastAsia="仿宋" w:cs="仿宋"/>
                <w:kern w:val="0"/>
                <w:szCs w:val="21"/>
              </w:rPr>
              <w:t>指</w:t>
            </w:r>
            <w:r>
              <w:rPr>
                <w:rFonts w:hint="eastAsia" w:ascii="仿宋" w:hAnsi="仿宋" w:eastAsia="仿宋" w:cs="仿宋"/>
                <w:kern w:val="0"/>
                <w:szCs w:val="21"/>
              </w:rPr>
              <w:br w:type="textWrapping"/>
            </w:r>
            <w:r>
              <w:rPr>
                <w:rFonts w:hint="eastAsia" w:ascii="仿宋" w:hAnsi="仿宋" w:eastAsia="仿宋" w:cs="仿宋"/>
                <w:kern w:val="0"/>
                <w:szCs w:val="21"/>
              </w:rPr>
              <w:t>标</w:t>
            </w:r>
          </w:p>
        </w:tc>
        <w:tc>
          <w:tcPr>
            <w:tcW w:w="4419" w:type="dxa"/>
            <w:gridSpan w:val="5"/>
            <w:tcBorders>
              <w:top w:val="single" w:color="auto" w:sz="4" w:space="0"/>
              <w:left w:val="nil"/>
              <w:bottom w:val="single" w:color="auto" w:sz="4" w:space="0"/>
              <w:right w:val="single" w:color="auto" w:sz="4" w:space="0"/>
            </w:tcBorders>
          </w:tcPr>
          <w:p>
            <w:pPr>
              <w:widowControl/>
              <w:spacing w:line="340" w:lineRule="exact"/>
              <w:rPr>
                <w:rFonts w:hint="eastAsia" w:ascii="仿宋" w:hAnsi="仿宋" w:eastAsia="仿宋" w:cs="仿宋"/>
                <w:kern w:val="0"/>
                <w:sz w:val="18"/>
                <w:szCs w:val="18"/>
              </w:rPr>
            </w:pPr>
            <w:r>
              <w:rPr>
                <w:rFonts w:hint="eastAsia" w:ascii="仿宋" w:hAnsi="仿宋" w:eastAsia="仿宋" w:cs="仿宋"/>
                <w:kern w:val="0"/>
                <w:sz w:val="18"/>
                <w:szCs w:val="18"/>
              </w:rPr>
              <w:t>部分制度的修订完善工作，建成科学规范、运行有效的现代职业学校制度体系；</w:t>
            </w:r>
          </w:p>
          <w:p>
            <w:pPr>
              <w:widowControl/>
              <w:spacing w:line="340" w:lineRule="exact"/>
              <w:ind w:firstLine="361" w:firstLineChars="200"/>
              <w:rPr>
                <w:rFonts w:hint="eastAsia" w:ascii="仿宋" w:hAnsi="仿宋" w:eastAsia="仿宋" w:cs="仿宋"/>
                <w:kern w:val="0"/>
                <w:sz w:val="18"/>
                <w:szCs w:val="18"/>
              </w:rPr>
            </w:pPr>
            <w:r>
              <w:rPr>
                <w:rFonts w:hint="eastAsia" w:ascii="仿宋" w:hAnsi="仿宋" w:eastAsia="仿宋" w:cs="仿宋"/>
                <w:b/>
                <w:bCs/>
                <w:kern w:val="0"/>
                <w:sz w:val="18"/>
                <w:szCs w:val="18"/>
              </w:rPr>
              <w:t>三是</w:t>
            </w:r>
            <w:r>
              <w:rPr>
                <w:rFonts w:hint="eastAsia" w:ascii="仿宋" w:hAnsi="仿宋" w:eastAsia="仿宋" w:cs="仿宋"/>
                <w:kern w:val="0"/>
                <w:sz w:val="18"/>
                <w:szCs w:val="18"/>
              </w:rPr>
              <w:t>以人为本，持续实施分层分类专题培训，加强人才梯队建设，打造适应学校未来发展的高素质人才队伍，实现从“共治”到“善治”的转变。工作机制科学高效，整体治理水平和协同治理能力明显提升。完成学校大数据平台和智慧决策平台建设，实现数据协同、个性化推送、精细化管理，全面服务办学治校，提升治理能力现代化水平；</w:t>
            </w:r>
          </w:p>
          <w:p>
            <w:pPr>
              <w:widowControl/>
              <w:spacing w:line="340" w:lineRule="exact"/>
              <w:ind w:firstLine="361" w:firstLineChars="200"/>
              <w:rPr>
                <w:rFonts w:hint="eastAsia" w:ascii="仿宋" w:hAnsi="仿宋" w:eastAsia="仿宋" w:cs="仿宋"/>
                <w:kern w:val="0"/>
                <w:sz w:val="22"/>
                <w:szCs w:val="22"/>
              </w:rPr>
            </w:pPr>
            <w:r>
              <w:rPr>
                <w:rFonts w:hint="eastAsia" w:ascii="仿宋" w:hAnsi="仿宋" w:eastAsia="仿宋" w:cs="仿宋"/>
                <w:b/>
                <w:bCs/>
                <w:kern w:val="0"/>
                <w:sz w:val="18"/>
                <w:szCs w:val="18"/>
              </w:rPr>
              <w:t>四是</w:t>
            </w:r>
            <w:r>
              <w:rPr>
                <w:rFonts w:hint="eastAsia" w:ascii="仿宋" w:hAnsi="仿宋" w:eastAsia="仿宋" w:cs="仿宋"/>
                <w:kern w:val="0"/>
                <w:sz w:val="18"/>
                <w:szCs w:val="18"/>
              </w:rPr>
              <w:t>优化完善工作小组运行机制和追踪问效机制，实现项目监督经常化、规范化、标准化。进一步实施全面质量管理，严格执行内控制度，形成多元参与、立体监督、全面风险防控的内控监督体系。持续加强外部质量评估，委托第三方对学校整体治理质量进行评估诊断，建立健全学校评价标准体系。</w:t>
            </w:r>
          </w:p>
        </w:tc>
        <w:tc>
          <w:tcPr>
            <w:tcW w:w="5194" w:type="dxa"/>
            <w:gridSpan w:val="9"/>
            <w:tcBorders>
              <w:top w:val="single" w:color="auto" w:sz="4" w:space="0"/>
              <w:left w:val="nil"/>
              <w:bottom w:val="single" w:color="auto" w:sz="4" w:space="0"/>
              <w:right w:val="single" w:color="auto" w:sz="4" w:space="0"/>
            </w:tcBorders>
          </w:tcPr>
          <w:p>
            <w:pPr>
              <w:widowControl/>
              <w:spacing w:line="340" w:lineRule="exact"/>
              <w:rPr>
                <w:rFonts w:hint="eastAsia" w:ascii="仿宋" w:hAnsi="仿宋" w:eastAsia="仿宋" w:cs="仿宋"/>
                <w:kern w:val="0"/>
                <w:sz w:val="18"/>
                <w:szCs w:val="18"/>
              </w:rPr>
            </w:pPr>
            <w:r>
              <w:rPr>
                <w:rFonts w:hint="eastAsia" w:ascii="仿宋" w:hAnsi="仿宋" w:eastAsia="仿宋" w:cs="仿宋"/>
                <w:kern w:val="0"/>
                <w:sz w:val="18"/>
                <w:szCs w:val="18"/>
              </w:rPr>
              <w:t>，提升治理能力现代化水平；</w:t>
            </w:r>
          </w:p>
          <w:p>
            <w:pPr>
              <w:widowControl/>
              <w:spacing w:line="340" w:lineRule="exact"/>
              <w:ind w:firstLine="361" w:firstLineChars="200"/>
              <w:rPr>
                <w:rFonts w:hint="eastAsia" w:ascii="仿宋" w:hAnsi="仿宋" w:eastAsia="仿宋" w:cs="仿宋"/>
                <w:kern w:val="0"/>
                <w:sz w:val="18"/>
                <w:szCs w:val="18"/>
              </w:rPr>
            </w:pPr>
            <w:r>
              <w:rPr>
                <w:rFonts w:hint="eastAsia" w:ascii="仿宋" w:hAnsi="仿宋" w:eastAsia="仿宋" w:cs="仿宋"/>
                <w:b/>
                <w:bCs/>
                <w:kern w:val="0"/>
                <w:sz w:val="18"/>
                <w:szCs w:val="18"/>
              </w:rPr>
              <w:t>四是</w:t>
            </w:r>
            <w:r>
              <w:rPr>
                <w:rFonts w:hint="eastAsia" w:ascii="仿宋" w:hAnsi="仿宋" w:eastAsia="仿宋" w:cs="仿宋"/>
                <w:kern w:val="0"/>
                <w:sz w:val="18"/>
                <w:szCs w:val="18"/>
              </w:rPr>
              <w:t>加强质量保障：坚持国企办学特色，严格落实事业单位、国有企业“双标”管理，实施全面质量管理、内部管理和风险管理，为学校事业发展行稳致远保驾护航。梳理重要管理流程中的风险点，评定风险等级，完善重大风险防控机制，提升防范化解重大风险能力。加强内控管理和合规管理，修订学校内控手册，实现学校及所属单位内控体系建设和内控评价工作全覆盖。加强内控监督管理，建立健全由纪委、财务、审计、法律顾问、会计师事务所等内外结合的内控监督体系，提升监督效能。加强项目管理和经营板块业务管理，规范财务管理和资产管理，保证办学治校活动依法依规。加强法务管理，聘用法律顾问，对学校重大事项决策开展法律风险评估，持续推行合同审核审批制，实现经济合同审核率100%。加强外部质量评估，持续开展对学校教育质量、学生成长质量、整体治理质量等进行专项评估诊断，建立健全学校评价标准体系。</w:t>
            </w:r>
          </w:p>
          <w:p>
            <w:pPr>
              <w:widowControl/>
              <w:spacing w:line="340" w:lineRule="exact"/>
              <w:ind w:firstLine="360" w:firstLineChars="200"/>
              <w:rPr>
                <w:rFonts w:hint="eastAsia" w:ascii="仿宋" w:hAnsi="仿宋" w:eastAsia="仿宋" w:cs="仿宋"/>
                <w:kern w:val="0"/>
                <w:sz w:val="18"/>
                <w:szCs w:val="18"/>
              </w:rPr>
            </w:pPr>
            <w:r>
              <w:rPr>
                <w:rFonts w:hint="eastAsia" w:ascii="仿宋" w:hAnsi="仿宋" w:eastAsia="仿宋" w:cs="仿宋"/>
                <w:kern w:val="0"/>
                <w:sz w:val="18"/>
                <w:szCs w:val="18"/>
              </w:rPr>
              <w:t>通过项目工作建设，经过科学质量评估，学校整体治理水平和协同治理能力取得明显提升，达到年度项目建设目标。</w:t>
            </w:r>
          </w:p>
        </w:tc>
      </w:tr>
      <w:tr>
        <w:tblPrEx>
          <w:tblCellMar>
            <w:top w:w="0" w:type="dxa"/>
            <w:left w:w="108" w:type="dxa"/>
            <w:bottom w:w="0" w:type="dxa"/>
            <w:right w:w="108" w:type="dxa"/>
          </w:tblCellMar>
        </w:tblPrEx>
        <w:trPr>
          <w:trHeight w:val="635" w:hRule="exact"/>
          <w:jc w:val="center"/>
        </w:trPr>
        <w:tc>
          <w:tcPr>
            <w:tcW w:w="497"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一级指标</w:t>
            </w:r>
          </w:p>
        </w:tc>
        <w:tc>
          <w:tcPr>
            <w:tcW w:w="112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二级指标</w:t>
            </w: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三级指标</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年度</w:t>
            </w:r>
          </w:p>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指标值</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实际</w:t>
            </w:r>
          </w:p>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完成值</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分值</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得分</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偏差原因分析及改进措施</w:t>
            </w:r>
          </w:p>
        </w:tc>
      </w:tr>
      <w:tr>
        <w:tblPrEx>
          <w:tblCellMar>
            <w:top w:w="0" w:type="dxa"/>
            <w:left w:w="108" w:type="dxa"/>
            <w:bottom w:w="0" w:type="dxa"/>
            <w:right w:w="108" w:type="dxa"/>
          </w:tblCellMar>
        </w:tblPrEx>
        <w:trPr>
          <w:trHeight w:val="56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产出指标</w:t>
            </w:r>
          </w:p>
        </w:tc>
        <w:tc>
          <w:tcPr>
            <w:tcW w:w="112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数量指标</w:t>
            </w: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任务完成率</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95%</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100%</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56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完善学校办学理念，设计完成学校手册</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1册</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1册</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56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完成学校专题宣传片拍摄</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≥1部</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1部</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56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完成国际国内主流媒体专题宣传报道</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≥10次</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15次</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56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完成学校中长期发展规划</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≥1项</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2项</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56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完善学校制度手册</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≥3册</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4册</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56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完成学校综合配套改革工作方案</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1项</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1项</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1014"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组织开展学校治理现状调研</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全员覆盖率≥75%，有效问卷率≥90%</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全员覆盖率≥84%，有效问卷率100%</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73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加强评估诊断，完成学校学校治理水平相关工作报告</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≥1份</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3份</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73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加强内控管理，完成学校年度内部控制相关工作报告</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≥1份</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3份</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73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加强信息建设，完成学校信息化建设相关工作报告</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≥1份</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3份</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56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组织开展特色高水平院校建设专项研讨培训</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≥300人天</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375人天</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56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rPr>
            </w:pPr>
          </w:p>
          <w:p>
            <w:pPr>
              <w:pStyle w:val="2"/>
              <w:rPr>
                <w:rFonts w:hint="eastAsia" w:ascii="仿宋" w:hAnsi="仿宋" w:eastAsia="仿宋" w:cs="仿宋"/>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特高专项研讨项目领导、项目负责人培训覆盖率</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≥90%</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100%</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56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pStyle w:val="2"/>
              <w:rPr>
                <w:rFonts w:hint="eastAsia" w:ascii="仿宋" w:hAnsi="仿宋" w:eastAsia="仿宋" w:cs="仿宋"/>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完成特高校建设课题研究报告</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≥1份</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7份</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56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pStyle w:val="2"/>
              <w:rPr>
                <w:rFonts w:hint="eastAsia" w:ascii="仿宋" w:hAnsi="仿宋" w:eastAsia="仿宋" w:cs="仿宋"/>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完成特高校建设相关论文</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≥2篇</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5篇</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73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优化北京市商业学校特色高水平学校建设专题网站</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≥2处</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12处</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56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完成学校特色高水平职业院校建设年度报告</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≥1篇</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15篇</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56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完成特色高水平院校建设案例</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≥1篇</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20篇</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73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学校、团队、教师、学生获得市级（以上）荣誉和奖励表彰</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≥20项</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75项</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56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restart"/>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质量指标</w:t>
            </w: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一级制度文件规范率</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≥90%</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100%</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56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一级工作流程规范率</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≥90%</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100%</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73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加强法务审核，提升特高校项目相关合同法务审核率</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≥90%</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100%</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1753"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加强质量评价和学业评价，完成学校教育质量报告、学生成长质量报告</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≥2份</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 w:hAnsi="仿宋" w:eastAsia="仿宋" w:cs="仿宋"/>
                <w:color w:val="000000"/>
                <w:kern w:val="0"/>
                <w:szCs w:val="21"/>
              </w:rPr>
            </w:pPr>
            <w:r>
              <w:rPr>
                <w:rFonts w:hint="eastAsia" w:ascii="仿宋" w:hAnsi="仿宋" w:eastAsia="仿宋" w:cs="仿宋"/>
                <w:color w:val="000000"/>
                <w:kern w:val="0"/>
                <w:sz w:val="18"/>
                <w:szCs w:val="18"/>
              </w:rPr>
              <w:t>3份。学校获北京市中等职业学校教育优秀质量报告奖、优秀编制人、突出贡献奖</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56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时效指标</w:t>
            </w: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任务如期完成率</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≥95%</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100%</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541"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成本指标</w:t>
            </w: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严格控制成本，不超预算</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≥95%</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100%</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2</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1062"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效益指标</w:t>
            </w:r>
          </w:p>
        </w:tc>
        <w:tc>
          <w:tcPr>
            <w:tcW w:w="1125" w:type="dxa"/>
            <w:vMerge w:val="restart"/>
            <w:tcBorders>
              <w:top w:val="single" w:color="auto" w:sz="4" w:space="0"/>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color w:val="000000"/>
                <w:kern w:val="0"/>
                <w:szCs w:val="21"/>
              </w:rPr>
              <w:t>社</w:t>
            </w:r>
            <w:r>
              <w:rPr>
                <w:rFonts w:hint="eastAsia" w:ascii="仿宋" w:hAnsi="仿宋" w:eastAsia="仿宋" w:cs="仿宋"/>
                <w:kern w:val="0"/>
                <w:szCs w:val="21"/>
              </w:rPr>
              <w:t>会效益</w:t>
            </w:r>
          </w:p>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kern w:val="0"/>
                <w:szCs w:val="21"/>
              </w:rPr>
              <w:t>指标</w:t>
            </w: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提升学校和影响力和示范引领作用，学校在全国性行业性重要会议活动中作专题分享</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highlight w:val="none"/>
              </w:rPr>
            </w:pPr>
            <w:r>
              <w:rPr>
                <w:rFonts w:hint="eastAsia" w:ascii="仿宋" w:hAnsi="仿宋" w:eastAsia="仿宋" w:cs="仿宋"/>
                <w:color w:val="000000"/>
                <w:kern w:val="0"/>
                <w:szCs w:val="21"/>
                <w:highlight w:val="none"/>
              </w:rPr>
              <w:t>≥6次，示范引领覆盖学校≥200所</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 w:val="18"/>
                <w:szCs w:val="18"/>
                <w:highlight w:val="none"/>
              </w:rPr>
            </w:pPr>
            <w:r>
              <w:rPr>
                <w:rFonts w:hint="eastAsia" w:ascii="仿宋" w:hAnsi="仿宋" w:eastAsia="仿宋" w:cs="仿宋"/>
                <w:color w:val="000000"/>
                <w:kern w:val="0"/>
                <w:szCs w:val="21"/>
                <w:highlight w:val="none"/>
              </w:rPr>
              <w:t>12次，示范引领覆盖学校300所</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10</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highlight w:val="none"/>
              </w:rPr>
            </w:pPr>
            <w:r>
              <w:rPr>
                <w:rFonts w:hint="eastAsia" w:ascii="仿宋" w:hAnsi="仿宋" w:eastAsia="仿宋" w:cs="仿宋"/>
                <w:kern w:val="0"/>
                <w:szCs w:val="21"/>
                <w:highlight w:val="none"/>
              </w:rPr>
              <w:t>10</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2410"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left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特高项目建设北京市阶段评估成绩</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color w:val="000000"/>
                <w:kern w:val="0"/>
                <w:szCs w:val="21"/>
              </w:rPr>
              <w:t>评估成绩优秀</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特高校位列全市第2名，互联网+财经专业群位列全市一批专业群第2名；智慧商业专业群位列全市二批专业群第1名</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2134"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1125" w:type="dxa"/>
            <w:vMerge w:val="continue"/>
            <w:tcBorders>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学校特高项目建成高水平标志性成果，在北京市和全国职业教育战线形成引领、示范、辐射效应，打造特高学校建设的“北京品牌”</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 xml:space="preserve">一批 </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rPr>
              <w:t>取得国家级标志性成果342项、省级标志性成果638项，名列北京市特高院校第一方阵</w:t>
            </w:r>
          </w:p>
        </w:tc>
        <w:tc>
          <w:tcPr>
            <w:tcW w:w="687"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757" w:hRule="exact"/>
          <w:jc w:val="center"/>
        </w:trPr>
        <w:tc>
          <w:tcPr>
            <w:tcW w:w="497" w:type="dxa"/>
            <w:vMerge w:val="continue"/>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c>
          <w:tcPr>
            <w:tcW w:w="888"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满意度</w:t>
            </w:r>
          </w:p>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指标</w:t>
            </w:r>
          </w:p>
        </w:tc>
        <w:tc>
          <w:tcPr>
            <w:tcW w:w="1125"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服务对象满意度</w:t>
            </w:r>
          </w:p>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指标</w:t>
            </w:r>
          </w:p>
        </w:tc>
        <w:tc>
          <w:tcPr>
            <w:tcW w:w="2406" w:type="dxa"/>
            <w:gridSpan w:val="3"/>
            <w:tcBorders>
              <w:top w:val="single" w:color="auto" w:sz="4" w:space="0"/>
              <w:left w:val="nil"/>
              <w:bottom w:val="single" w:color="auto" w:sz="4" w:space="0"/>
              <w:right w:val="single" w:color="auto" w:sz="4" w:space="0"/>
            </w:tcBorders>
            <w:vAlign w:val="center"/>
          </w:tcPr>
          <w:p>
            <w:pPr>
              <w:widowControl/>
              <w:spacing w:line="240" w:lineRule="exact"/>
              <w:jc w:val="left"/>
              <w:rPr>
                <w:rFonts w:hint="eastAsia" w:ascii="仿宋" w:hAnsi="仿宋" w:eastAsia="仿宋" w:cs="仿宋"/>
                <w:color w:val="000000"/>
                <w:kern w:val="0"/>
                <w:szCs w:val="21"/>
              </w:rPr>
            </w:pPr>
            <w:r>
              <w:rPr>
                <w:rFonts w:hint="eastAsia" w:ascii="仿宋" w:hAnsi="仿宋" w:eastAsia="仿宋" w:cs="仿宋"/>
                <w:color w:val="000000"/>
                <w:kern w:val="0"/>
                <w:szCs w:val="21"/>
              </w:rPr>
              <w:t>培训满意度</w:t>
            </w:r>
          </w:p>
        </w:tc>
        <w:tc>
          <w:tcPr>
            <w:tcW w:w="1115"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≥90%</w:t>
            </w:r>
          </w:p>
        </w:tc>
        <w:tc>
          <w:tcPr>
            <w:tcW w:w="1238"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 w:val="18"/>
                <w:szCs w:val="18"/>
              </w:rPr>
            </w:pPr>
            <w:r>
              <w:rPr>
                <w:rFonts w:hint="eastAsia" w:ascii="仿宋" w:hAnsi="仿宋" w:eastAsia="仿宋" w:cs="仿宋"/>
                <w:color w:val="000000"/>
                <w:kern w:val="0"/>
                <w:sz w:val="18"/>
                <w:szCs w:val="18"/>
                <w:highlight w:val="none"/>
              </w:rPr>
              <w:t>95%</w:t>
            </w:r>
          </w:p>
        </w:tc>
        <w:tc>
          <w:tcPr>
            <w:tcW w:w="68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r>
              <w:rPr>
                <w:rFonts w:hint="eastAsia" w:ascii="仿宋" w:hAnsi="仿宋" w:eastAsia="仿宋" w:cs="仿宋"/>
                <w:kern w:val="0"/>
                <w:szCs w:val="21"/>
              </w:rPr>
              <w:t>10</w:t>
            </w:r>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r>
        <w:tblPrEx>
          <w:tblCellMar>
            <w:top w:w="0" w:type="dxa"/>
            <w:left w:w="108" w:type="dxa"/>
            <w:bottom w:w="0" w:type="dxa"/>
            <w:right w:w="108" w:type="dxa"/>
          </w:tblCellMar>
        </w:tblPrEx>
        <w:trPr>
          <w:trHeight w:val="477" w:hRule="exact"/>
          <w:jc w:val="center"/>
        </w:trPr>
        <w:tc>
          <w:tcPr>
            <w:tcW w:w="7269" w:type="dxa"/>
            <w:gridSpan w:val="10"/>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总分</w:t>
            </w:r>
          </w:p>
        </w:tc>
        <w:tc>
          <w:tcPr>
            <w:tcW w:w="687" w:type="dxa"/>
            <w:gridSpan w:val="2"/>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hint="eastAsia" w:ascii="仿宋" w:hAnsi="仿宋" w:eastAsia="仿宋" w:cs="仿宋"/>
                <w:color w:val="000000"/>
                <w:kern w:val="0"/>
                <w:szCs w:val="21"/>
              </w:rPr>
            </w:pPr>
            <w:r>
              <w:rPr>
                <w:rFonts w:hint="eastAsia" w:ascii="仿宋" w:hAnsi="仿宋" w:eastAsia="仿宋" w:cs="仿宋"/>
                <w:color w:val="000000"/>
                <w:kern w:val="0"/>
                <w:szCs w:val="21"/>
              </w:rPr>
              <w:t>100</w:t>
            </w:r>
          </w:p>
        </w:tc>
        <w:tc>
          <w:tcPr>
            <w:tcW w:w="654"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default" w:ascii="仿宋" w:hAnsi="仿宋" w:eastAsia="仿宋" w:cs="仿宋"/>
                <w:color w:val="000000"/>
                <w:kern w:val="0"/>
                <w:szCs w:val="21"/>
                <w:lang w:val="en-US" w:eastAsia="zh-CN"/>
              </w:rPr>
            </w:pPr>
            <w:r>
              <w:rPr>
                <w:rFonts w:hint="eastAsia" w:ascii="仿宋" w:hAnsi="仿宋" w:eastAsia="仿宋" w:cs="仿宋"/>
                <w:color w:val="000000"/>
                <w:kern w:val="0"/>
                <w:szCs w:val="21"/>
              </w:rPr>
              <w:t>98.</w:t>
            </w:r>
            <w:r>
              <w:rPr>
                <w:rFonts w:hint="eastAsia" w:ascii="仿宋" w:hAnsi="仿宋" w:eastAsia="仿宋" w:cs="仿宋"/>
                <w:color w:val="000000"/>
                <w:kern w:val="0"/>
                <w:szCs w:val="21"/>
                <w:lang w:val="en-US" w:eastAsia="zh-CN"/>
              </w:rPr>
              <w:t>65</w:t>
            </w:r>
            <w:bookmarkStart w:id="0" w:name="_GoBack"/>
            <w:bookmarkEnd w:id="0"/>
          </w:p>
        </w:tc>
        <w:tc>
          <w:tcPr>
            <w:tcW w:w="1500" w:type="dxa"/>
            <w:gridSpan w:val="2"/>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仿宋" w:hAnsi="仿宋" w:eastAsia="仿宋" w:cs="仿宋"/>
                <w:kern w:val="0"/>
                <w:szCs w:val="21"/>
              </w:rPr>
            </w:pPr>
          </w:p>
        </w:tc>
      </w:tr>
    </w:tbl>
    <w:tbl>
      <w:tblPr>
        <w:tblStyle w:val="9"/>
        <w:tblpPr w:leftFromText="180" w:rightFromText="180" w:vertAnchor="text" w:tblpX="10427" w:tblpY="-5887"/>
        <w:tblOverlap w:val="never"/>
        <w:tblW w:w="40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hidden/>
        </w:trPr>
        <w:tc>
          <w:tcPr>
            <w:tcW w:w="401" w:type="dxa"/>
          </w:tcPr>
          <w:p>
            <w:pPr>
              <w:rPr>
                <w:rFonts w:ascii="仿宋_GB2312" w:eastAsia="仿宋_GB2312"/>
                <w:vanish/>
                <w:sz w:val="32"/>
                <w:szCs w:val="32"/>
              </w:rPr>
            </w:pPr>
          </w:p>
        </w:tc>
      </w:tr>
    </w:tbl>
    <w:p>
      <w:pPr>
        <w:rPr>
          <w:rFonts w:ascii="仿宋_GB2312" w:eastAsia="仿宋_GB2312"/>
          <w:vanish/>
          <w:sz w:val="32"/>
          <w:szCs w:val="32"/>
        </w:rPr>
      </w:pPr>
    </w:p>
    <w:p>
      <w:pPr>
        <w:widowControl/>
        <w:spacing w:line="520" w:lineRule="exact"/>
        <w:jc w:val="left"/>
        <w:rPr>
          <w:rFonts w:ascii="仿宋_GB2312" w:hAnsi="宋体" w:eastAsia="仿宋_GB2312" w:cs="宋体"/>
          <w:color w:val="000000"/>
          <w:kern w:val="0"/>
          <w:sz w:val="32"/>
          <w:szCs w:val="32"/>
        </w:rPr>
      </w:pP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填报注意事项：</w:t>
      </w:r>
    </w:p>
    <w:p>
      <w:pPr>
        <w:widowControl/>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1.得分一档最高不能超过该指标分值上限。</w:t>
      </w:r>
    </w:p>
    <w:p>
      <w:pPr>
        <w:widowControl/>
        <w:spacing w:line="520" w:lineRule="exact"/>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 xml:space="preserve">    2.定量指标若为正向指标，则得分计算方法应用全年实际值（B）/年度指标值（A）*该指标分值；若定量指标为反向指标，则得分计算方法应用年度指标值（A）/全年实际值（B）*该指标分值。若年初指标值设定偏低，则得分计算方法应用（全年实际值（B）—年度指标值（A））/年度指标值（A）*100%。若计算结果在200%-300%（含200%）区间，则按照该指标分值的10%扣分；计算结果在300%-500%（含300%）区间，则按照该指标分值的20%扣分；计算结果高于500%（含500%），则按照该指标分值的30%扣分。</w:t>
      </w:r>
    </w:p>
    <w:p>
      <w:pPr>
        <w:spacing w:line="520" w:lineRule="exact"/>
        <w:ind w:firstLine="640" w:firstLineChars="200"/>
        <w:jc w:val="left"/>
        <w:rPr>
          <w:rFonts w:ascii="仿宋_GB2312" w:hAnsi="宋体" w:eastAsia="仿宋_GB2312" w:cs="宋体"/>
          <w:color w:val="000000"/>
          <w:kern w:val="0"/>
          <w:sz w:val="32"/>
          <w:szCs w:val="32"/>
        </w:rPr>
      </w:pPr>
      <w:r>
        <w:rPr>
          <w:rFonts w:hint="eastAsia" w:ascii="仿宋_GB2312" w:hAnsi="宋体" w:eastAsia="仿宋_GB2312" w:cs="宋体"/>
          <w:color w:val="000000"/>
          <w:kern w:val="0"/>
          <w:sz w:val="32"/>
          <w:szCs w:val="32"/>
        </w:rPr>
        <w:t>3.请在“偏差原因分析及改进措施”中说明偏离目标、不能完成目标的原因及拟采取的措施。</w:t>
      </w:r>
    </w:p>
    <w:p>
      <w:pPr>
        <w:spacing w:line="520" w:lineRule="exact"/>
        <w:ind w:firstLine="640" w:firstLineChars="200"/>
      </w:pPr>
      <w:r>
        <w:rPr>
          <w:rFonts w:hint="eastAsia" w:ascii="仿宋_GB2312" w:hAnsi="宋体" w:eastAsia="仿宋_GB2312" w:cs="宋体"/>
          <w:color w:val="000000"/>
          <w:kern w:val="0"/>
          <w:sz w:val="32"/>
          <w:szCs w:val="32"/>
        </w:rPr>
        <w:t>4.90（含）-100分为优、80（含）-90分为良、60（含）-80分为中、60分以下为差。</w:t>
      </w:r>
      <w:r>
        <w:rPr>
          <w:rFonts w:hint="eastAsia" w:ascii="方正小标宋简体" w:eastAsia="方正小标宋简体"/>
          <w:sz w:val="36"/>
          <w:szCs w:val="36"/>
        </w:rPr>
        <w:t xml:space="preserve"> </w:t>
      </w:r>
    </w:p>
    <w:sectPr>
      <w:footerReference r:id="rId3" w:type="default"/>
      <w:pgSz w:w="11906" w:h="16838"/>
      <w:pgMar w:top="1417" w:right="1474" w:bottom="113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方正舒体"/>
    <w:panose1 w:val="00000000000000000000"/>
    <w:charset w:val="86"/>
    <w:family w:val="auto"/>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方正舒体">
    <w:panose1 w:val="02010601030101010101"/>
    <w:charset w:val="86"/>
    <w:family w:val="auto"/>
    <w:pitch w:val="default"/>
    <w:sig w:usb0="00000003"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rPr>
        <w:rFonts w:ascii="宋体" w:hAnsi="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right</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">
              <v:fill on="f" focussize="0,0"/>
              <v:stroke on="f" weight="0.5pt"/>
              <v:imagedata o:title=""/>
              <o:lock v:ext="edit" aspectratio="f"/>
              <v:textbox inset="0mm,0mm,0mm,0mm" style="mso-fit-shape-to-text:t;">
                <w:txbxContent>
                  <w:p>
                    <w:pPr>
                      <w:pStyle w:val="6"/>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w:t>
                    </w:r>
                    <w:r>
                      <w:rPr>
                        <w:rFonts w:ascii="宋体" w:hAnsi="宋体"/>
                        <w:sz w:val="28"/>
                        <w:szCs w:val="28"/>
                      </w:rPr>
                      <w:t xml:space="preserve"> 2 -</w:t>
                    </w:r>
                    <w:r>
                      <w:rPr>
                        <w:rFonts w:ascii="宋体" w:hAnsi="宋体"/>
                        <w:sz w:val="28"/>
                        <w:szCs w:val="28"/>
                      </w:rPr>
                      <w:fldChar w:fldCharType="end"/>
                    </w:r>
                  </w:p>
                </w:txbxContent>
              </v:textbox>
            </v:shape>
          </w:pict>
        </mc:Fallback>
      </mc:AlternateContent>
    </w:r>
  </w:p>
  <w:p>
    <w:pPr>
      <w:pStyle w:val="6"/>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UzYmFkY2E3NDQxNWJhYTI2Y2NhNDQ1Y2U1M2JmZTkifQ=="/>
  </w:docVars>
  <w:rsids>
    <w:rsidRoot w:val="F77F09F4"/>
    <w:rsid w:val="00595059"/>
    <w:rsid w:val="00621416"/>
    <w:rsid w:val="00896E4B"/>
    <w:rsid w:val="009B3983"/>
    <w:rsid w:val="00B12301"/>
    <w:rsid w:val="00CE3E2F"/>
    <w:rsid w:val="00D534E2"/>
    <w:rsid w:val="00DA265D"/>
    <w:rsid w:val="162B49E7"/>
    <w:rsid w:val="17122147"/>
    <w:rsid w:val="1F204D21"/>
    <w:rsid w:val="1F8C3FD1"/>
    <w:rsid w:val="201158F3"/>
    <w:rsid w:val="37173543"/>
    <w:rsid w:val="3A6B16A6"/>
    <w:rsid w:val="3E646581"/>
    <w:rsid w:val="3FF76880"/>
    <w:rsid w:val="4F5E2053"/>
    <w:rsid w:val="5AEC372E"/>
    <w:rsid w:val="5B731FC6"/>
    <w:rsid w:val="61A6438C"/>
    <w:rsid w:val="64A26541"/>
    <w:rsid w:val="6EFB68AC"/>
    <w:rsid w:val="72331F17"/>
    <w:rsid w:val="7AB7FF50"/>
    <w:rsid w:val="7BFEB0DB"/>
    <w:rsid w:val="CEFD3F3D"/>
    <w:rsid w:val="EA3F77F2"/>
    <w:rsid w:val="EEFE5989"/>
    <w:rsid w:val="EFCF3EAE"/>
    <w:rsid w:val="F5B764A2"/>
    <w:rsid w:val="F77F09F4"/>
    <w:rsid w:val="FFD7BFFC"/>
    <w:rsid w:val="FFFA6B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4">
    <w:name w:val="heading 2"/>
    <w:basedOn w:val="1"/>
    <w:next w:val="1"/>
    <w:qFormat/>
    <w:uiPriority w:val="0"/>
    <w:pPr>
      <w:keepNext/>
      <w:keepLines/>
      <w:spacing w:before="260" w:after="260" w:line="413" w:lineRule="auto"/>
      <w:outlineLvl w:val="1"/>
    </w:pPr>
    <w:rPr>
      <w:rFonts w:ascii="Arial" w:hAnsi="Arial" w:eastAsia="黑体"/>
      <w:b/>
      <w:sz w:val="32"/>
    </w:rPr>
  </w:style>
  <w:style w:type="character" w:default="1" w:styleId="10">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rPr>
      <w:rFonts w:eastAsiaTheme="minorEastAsia"/>
      <w:szCs w:val="22"/>
    </w:rPr>
  </w:style>
  <w:style w:type="paragraph" w:styleId="3">
    <w:name w:val="Body Text Indent"/>
    <w:basedOn w:val="1"/>
    <w:qFormat/>
    <w:uiPriority w:val="0"/>
    <w:pPr>
      <w:ind w:left="420" w:leftChars="200"/>
    </w:pPr>
  </w:style>
  <w:style w:type="paragraph" w:styleId="5">
    <w:name w:val="toa heading"/>
    <w:basedOn w:val="1"/>
    <w:next w:val="1"/>
    <w:qFormat/>
    <w:uiPriority w:val="0"/>
    <w:pPr>
      <w:spacing w:before="120"/>
    </w:pPr>
    <w:rPr>
      <w:rFonts w:ascii="Arial" w:hAnsi="Arial"/>
      <w:sz w:val="24"/>
    </w:rPr>
  </w:style>
  <w:style w:type="paragraph" w:styleId="6">
    <w:name w:val="footer"/>
    <w:basedOn w:val="1"/>
    <w:qFormat/>
    <w:uiPriority w:val="99"/>
    <w:pPr>
      <w:tabs>
        <w:tab w:val="center" w:pos="4153"/>
        <w:tab w:val="right" w:pos="8306"/>
      </w:tabs>
      <w:snapToGrid w:val="0"/>
      <w:jc w:val="left"/>
    </w:pPr>
    <w:rPr>
      <w:sz w:val="18"/>
      <w:szCs w:val="20"/>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9">
    <w:name w:val="Table Grid"/>
    <w:basedOn w:val="8"/>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11">
    <w:name w:val="列出段落1"/>
    <w:basedOn w:val="1"/>
    <w:qFormat/>
    <w:uiPriority w:val="34"/>
    <w:pPr>
      <w:ind w:firstLine="420" w:firstLineChars="200"/>
    </w:pPr>
    <w:rPr>
      <w:rFonts w:ascii="Calibri" w:hAnsi="Calibri" w:cs="黑体"/>
      <w:szCs w:val="22"/>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Lenovo</Company>
  <Pages>5</Pages>
  <Words>3655</Words>
  <Characters>3865</Characters>
  <Lines>30</Lines>
  <Paragraphs>8</Paragraphs>
  <TotalTime>1</TotalTime>
  <ScaleCrop>false</ScaleCrop>
  <LinksUpToDate>false</LinksUpToDate>
  <CharactersWithSpaces>3902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2022-03-10T03:16:00Z</dcterms:created>
  <dc:creator>user</dc:creator>
  <cp:lastModifiedBy>86134</cp:lastModifiedBy>
  <cp:lastPrinted>2022-03-24T10:01:00Z</cp:lastPrinted>
  <dcterms:modified xsi:type="dcterms:W3CDTF">2023-05-19T03:01:59Z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B723F9F14ABB4000B43110201D9707C0_12</vt:lpwstr>
  </property>
</Properties>
</file>