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（2022年度）</w:t>
      </w:r>
    </w:p>
    <w:p>
      <w:pPr>
        <w:spacing w:line="240" w:lineRule="exact"/>
        <w:rPr>
          <w:rFonts w:ascii="仿宋_GB2312" w:hAnsi="宋体" w:eastAsia="仿宋_GB2312"/>
          <w:sz w:val="30"/>
          <w:szCs w:val="30"/>
        </w:rPr>
      </w:pPr>
    </w:p>
    <w:tbl>
      <w:tblPr>
        <w:tblStyle w:val="5"/>
        <w:tblW w:w="9038" w:type="dxa"/>
        <w:jc w:val="center"/>
        <w:tblLayout w:type="fixed"/>
        <w:tblCellMar>
          <w:top w:w="0" w:type="dxa"/>
          <w:left w:w="108" w:type="dxa"/>
          <w:bottom w:w="0" w:type="dxa"/>
          <w:right w:w="108" w:type="dxa"/>
        </w:tblCellMar>
      </w:tblPr>
      <w:tblGrid>
        <w:gridCol w:w="585"/>
        <w:gridCol w:w="975"/>
        <w:gridCol w:w="1105"/>
        <w:gridCol w:w="727"/>
        <w:gridCol w:w="1127"/>
        <w:gridCol w:w="283"/>
        <w:gridCol w:w="849"/>
        <w:gridCol w:w="848"/>
        <w:gridCol w:w="279"/>
        <w:gridCol w:w="284"/>
        <w:gridCol w:w="420"/>
        <w:gridCol w:w="143"/>
        <w:gridCol w:w="703"/>
        <w:gridCol w:w="710"/>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项目名称</w:t>
            </w:r>
          </w:p>
        </w:tc>
        <w:tc>
          <w:tcPr>
            <w:tcW w:w="7478" w:type="dxa"/>
            <w:gridSpan w:val="1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特高建设-骨干专业-艺术教育专业群</w:t>
            </w:r>
          </w:p>
        </w:tc>
      </w:tr>
      <w:tr>
        <w:tblPrEx>
          <w:tblCellMar>
            <w:top w:w="0" w:type="dxa"/>
            <w:left w:w="108" w:type="dxa"/>
            <w:bottom w:w="0" w:type="dxa"/>
            <w:right w:w="108" w:type="dxa"/>
          </w:tblCellMar>
        </w:tblPrEx>
        <w:trPr>
          <w:trHeight w:val="100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主管部门</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北京一商集团有限责任公司</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实施单位</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highlight w:val="none"/>
              </w:rPr>
              <w:t>北京市商业学校（北京祥龙资产经营有限责任公司党校）</w:t>
            </w:r>
          </w:p>
        </w:tc>
      </w:tr>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项目负责人</w:t>
            </w:r>
          </w:p>
        </w:tc>
        <w:tc>
          <w:tcPr>
            <w:tcW w:w="4091"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lang w:eastAsia="zh-CN"/>
              </w:rPr>
            </w:pPr>
            <w:r>
              <w:rPr>
                <w:rFonts w:hint="eastAsia" w:ascii="仿宋" w:hAnsi="仿宋" w:eastAsia="仿宋" w:cs="仿宋"/>
                <w:kern w:val="0"/>
                <w:szCs w:val="21"/>
                <w:lang w:val="en-US" w:eastAsia="zh-CN"/>
              </w:rPr>
              <w:t>李婕</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联系电话</w:t>
            </w:r>
          </w:p>
        </w:tc>
        <w:tc>
          <w:tcPr>
            <w:tcW w:w="2260"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 w:hAnsi="仿宋" w:eastAsia="仿宋" w:cs="仿宋"/>
                <w:kern w:val="0"/>
                <w:szCs w:val="21"/>
                <w:lang w:val="en-US" w:eastAsia="zh-CN"/>
              </w:rPr>
            </w:pPr>
            <w:r>
              <w:rPr>
                <w:rFonts w:hint="eastAsia" w:ascii="仿宋" w:hAnsi="仿宋" w:eastAsia="仿宋" w:cs="仿宋"/>
                <w:kern w:val="0"/>
                <w:szCs w:val="21"/>
                <w:lang w:val="en-US" w:eastAsia="zh-CN"/>
              </w:rPr>
              <w:t>13621026188</w:t>
            </w:r>
          </w:p>
        </w:tc>
      </w:tr>
      <w:tr>
        <w:tblPrEx>
          <w:tblCellMar>
            <w:top w:w="0" w:type="dxa"/>
            <w:left w:w="108" w:type="dxa"/>
            <w:bottom w:w="0" w:type="dxa"/>
            <w:right w:w="108" w:type="dxa"/>
          </w:tblCellMar>
        </w:tblPrEx>
        <w:trPr>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项目资金</w:t>
            </w:r>
            <w:r>
              <w:rPr>
                <w:rFonts w:hint="eastAsia" w:ascii="仿宋" w:hAnsi="仿宋" w:eastAsia="仿宋" w:cs="仿宋"/>
                <w:kern w:val="0"/>
                <w:szCs w:val="21"/>
              </w:rPr>
              <w:br w:type="textWrapping"/>
            </w:r>
            <w:r>
              <w:rPr>
                <w:rFonts w:hint="eastAsia" w:ascii="仿宋" w:hAnsi="仿宋" w:eastAsia="仿宋" w:cs="仿宋"/>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年初预</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算数</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全年预</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算数</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执行率</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r>
      <w:tr>
        <w:tblPrEx>
          <w:tblCellMar>
            <w:top w:w="0" w:type="dxa"/>
            <w:left w:w="108" w:type="dxa"/>
            <w:bottom w:w="0" w:type="dxa"/>
            <w:right w:w="108" w:type="dxa"/>
          </w:tblCellMar>
        </w:tblPrEx>
        <w:trPr>
          <w:trHeight w:val="52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 w:hAnsi="仿宋" w:eastAsia="仿宋" w:cs="仿宋"/>
                <w:kern w:val="0"/>
                <w:szCs w:val="21"/>
              </w:rPr>
            </w:pPr>
            <w:r>
              <w:rPr>
                <w:rFonts w:hint="eastAsia" w:ascii="仿宋" w:hAnsi="仿宋" w:eastAsia="仿宋" w:cs="仿宋"/>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26.794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21.304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21.133165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99.2%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lang w:val="en-US" w:eastAsia="zh-CN"/>
              </w:rPr>
            </w:pPr>
            <w:r>
              <w:rPr>
                <w:rFonts w:hint="eastAsia" w:ascii="仿宋" w:hAnsi="仿宋" w:eastAsia="仿宋" w:cs="仿宋"/>
                <w:kern w:val="0"/>
                <w:szCs w:val="21"/>
                <w:highlight w:val="none"/>
              </w:rPr>
              <w:t>9</w:t>
            </w:r>
            <w:r>
              <w:rPr>
                <w:rFonts w:hint="eastAsia" w:ascii="仿宋" w:hAnsi="仿宋" w:eastAsia="仿宋" w:cs="仿宋"/>
                <w:kern w:val="0"/>
                <w:szCs w:val="21"/>
                <w:highlight w:val="none"/>
                <w:lang w:val="en-US" w:eastAsia="zh-CN"/>
              </w:rPr>
              <w:t>.9</w:t>
            </w:r>
          </w:p>
        </w:tc>
      </w:tr>
      <w:tr>
        <w:tblPrEx>
          <w:tblCellMar>
            <w:top w:w="0" w:type="dxa"/>
            <w:left w:w="108" w:type="dxa"/>
            <w:bottom w:w="0" w:type="dxa"/>
            <w:right w:w="108" w:type="dxa"/>
          </w:tblCellMar>
        </w:tblPrEx>
        <w:trPr>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其中：当年财政</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26.794</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21.304</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21.133165</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99.2%</w:t>
            </w: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CellMar>
            <w:top w:w="0" w:type="dxa"/>
            <w:left w:w="108" w:type="dxa"/>
            <w:bottom w:w="0" w:type="dxa"/>
            <w:right w:w="108" w:type="dxa"/>
          </w:tblCellMar>
        </w:tblPrEx>
        <w:trPr>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CellMar>
            <w:top w:w="0" w:type="dxa"/>
            <w:left w:w="108" w:type="dxa"/>
            <w:bottom w:w="0" w:type="dxa"/>
            <w:right w:w="108" w:type="dxa"/>
          </w:tblCellMar>
        </w:tblPrEx>
        <w:trPr>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w:t>
            </w:r>
          </w:p>
        </w:tc>
        <w:tc>
          <w:tcPr>
            <w:tcW w:w="113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w:t>
            </w:r>
          </w:p>
        </w:tc>
        <w:tc>
          <w:tcPr>
            <w:tcW w:w="1127"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0</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710"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CellMar>
            <w:top w:w="0" w:type="dxa"/>
            <w:left w:w="108" w:type="dxa"/>
            <w:bottom w:w="0" w:type="dxa"/>
            <w:right w:w="108" w:type="dxa"/>
          </w:tblCellMar>
        </w:tblPrEx>
        <w:trPr>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年度总体目标</w:t>
            </w: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预期目标</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实际完成情况</w:t>
            </w:r>
          </w:p>
        </w:tc>
      </w:tr>
      <w:tr>
        <w:tblPrEx>
          <w:tblCellMar>
            <w:top w:w="0" w:type="dxa"/>
            <w:left w:w="108" w:type="dxa"/>
            <w:bottom w:w="0" w:type="dxa"/>
            <w:right w:w="108" w:type="dxa"/>
          </w:tblCellMar>
        </w:tblPrEx>
        <w:trPr>
          <w:trHeight w:val="437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5066" w:type="dxa"/>
            <w:gridSpan w:val="6"/>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kern w:val="0"/>
                <w:szCs w:val="21"/>
              </w:rPr>
            </w:pPr>
            <w:r>
              <w:rPr>
                <w:rFonts w:hint="eastAsia" w:ascii="仿宋" w:hAnsi="仿宋" w:eastAsia="仿宋" w:cs="仿宋"/>
                <w:kern w:val="0"/>
                <w:szCs w:val="21"/>
              </w:rPr>
              <w:t>专业群建设总结提炼，引领高端技术技能人才贯通培养实践创新，形成“北京范式”；专业群课程体系动态调整机制运转良好，中高本课程有效衔接；形成有力支撑专业群高质量发展的系列标准；园校共同开发高水平优质课程和融入STEAM理念的儿童教育产品化课程资源；教师团队在教学能力大赛、课题研究、教材建设等多方面取得系列成果，专兼职教师比例和双师型教师比例持续优化；继续深化校企合作，完善校外实践教学基地建设；建设家庭教育指导培训中心，依托奥尔夫音乐教育培训项目、艺术技能大师工作室开展社会服务；打造“中澳学院”学前教育专业国际合作示范品牌；为社会输送一批优秀的儿童教育人才，社会培训不少于4000人天，在校生满意度99%，培训人员满意度98%以上，用人单位对毕业生的满意度达98%以上。面向全国输出儿童教育领域人才培养的“北京标准和方案”，为儿童教育特别是儿童艺术教育师资培养贡献“北京经验和智慧”。</w:t>
            </w:r>
          </w:p>
        </w:tc>
        <w:tc>
          <w:tcPr>
            <w:tcW w:w="3387" w:type="dxa"/>
            <w:gridSpan w:val="7"/>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完成各项预期目标，并在社会培训、学生获奖等项目中超额完成目标</w:t>
            </w:r>
          </w:p>
        </w:tc>
      </w:tr>
      <w:tr>
        <w:tblPrEx>
          <w:tblCellMar>
            <w:top w:w="0" w:type="dxa"/>
            <w:left w:w="108" w:type="dxa"/>
            <w:bottom w:w="0" w:type="dxa"/>
            <w:right w:w="108" w:type="dxa"/>
          </w:tblCellMar>
        </w:tblPrEx>
        <w:trPr>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绩</w:t>
            </w:r>
            <w:r>
              <w:rPr>
                <w:rFonts w:hint="eastAsia" w:ascii="仿宋" w:hAnsi="仿宋" w:eastAsia="仿宋" w:cs="仿宋"/>
                <w:kern w:val="0"/>
                <w:szCs w:val="21"/>
              </w:rPr>
              <w:br w:type="textWrapping"/>
            </w:r>
            <w:r>
              <w:rPr>
                <w:rFonts w:hint="eastAsia" w:ascii="仿宋" w:hAnsi="仿宋" w:eastAsia="仿宋" w:cs="仿宋"/>
                <w:kern w:val="0"/>
                <w:szCs w:val="21"/>
              </w:rPr>
              <w:t>效</w:t>
            </w:r>
            <w:r>
              <w:rPr>
                <w:rFonts w:hint="eastAsia" w:ascii="仿宋" w:hAnsi="仿宋" w:eastAsia="仿宋" w:cs="仿宋"/>
                <w:kern w:val="0"/>
                <w:szCs w:val="21"/>
              </w:rPr>
              <w:br w:type="textWrapping"/>
            </w:r>
            <w:r>
              <w:rPr>
                <w:rFonts w:hint="eastAsia" w:ascii="仿宋" w:hAnsi="仿宋" w:eastAsia="仿宋" w:cs="仿宋"/>
                <w:kern w:val="0"/>
                <w:szCs w:val="21"/>
              </w:rPr>
              <w:t>指</w:t>
            </w:r>
            <w:r>
              <w:rPr>
                <w:rFonts w:hint="eastAsia" w:ascii="仿宋" w:hAnsi="仿宋" w:eastAsia="仿宋" w:cs="仿宋"/>
                <w:kern w:val="0"/>
                <w:szCs w:val="21"/>
              </w:rPr>
              <w:br w:type="textWrapping"/>
            </w:r>
            <w:r>
              <w:rPr>
                <w:rFonts w:hint="eastAsia" w:ascii="仿宋" w:hAnsi="仿宋" w:eastAsia="仿宋" w:cs="仿宋"/>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三级指标</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指标值</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偏差原因分析及改进</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措施</w:t>
            </w:r>
          </w:p>
        </w:tc>
      </w:tr>
      <w:tr>
        <w:tblPrEx>
          <w:tblCellMar>
            <w:top w:w="0" w:type="dxa"/>
            <w:left w:w="108" w:type="dxa"/>
            <w:bottom w:w="0" w:type="dxa"/>
            <w:right w:w="108" w:type="dxa"/>
          </w:tblCellMar>
        </w:tblPrEx>
        <w:trPr>
          <w:trHeight w:val="3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产出指标</w:t>
            </w: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专业群及各专业人才培养方案</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4套</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4套</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yellow"/>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yellow"/>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北京市三好学生、政府奖学金学生数</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12人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37人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61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教学模式创新数量（混合式教学、双语教学等）</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4门</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4门</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学生企业现场考核比例</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10%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参与各级课题研究</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4个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6个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160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lang w:bidi="ar"/>
              </w:rPr>
            </w:pPr>
            <w:r>
              <w:rPr>
                <w:rFonts w:hint="eastAsia" w:ascii="仿宋" w:hAnsi="仿宋" w:eastAsia="仿宋" w:cs="仿宋"/>
                <w:color w:val="000000"/>
                <w:kern w:val="0"/>
                <w:sz w:val="15"/>
                <w:szCs w:val="15"/>
                <w:lang w:bidi="ar"/>
              </w:rPr>
              <w:t>课程及培训资源包</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1"/>
                <w:szCs w:val="11"/>
                <w:lang w:bidi="ar"/>
              </w:rPr>
            </w:pPr>
            <w:r>
              <w:rPr>
                <w:rFonts w:hint="eastAsia" w:ascii="仿宋" w:hAnsi="仿宋" w:eastAsia="仿宋" w:cs="仿宋"/>
                <w:color w:val="000000"/>
                <w:kern w:val="0"/>
                <w:sz w:val="11"/>
                <w:szCs w:val="11"/>
                <w:lang w:bidi="ar"/>
              </w:rPr>
              <w:t>中小学职业体验课2门，中小学课程活动设计20个、课件10个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 w:val="11"/>
                <w:szCs w:val="11"/>
                <w:lang w:bidi="ar"/>
              </w:rPr>
            </w:pPr>
            <w:r>
              <w:rPr>
                <w:rFonts w:hint="eastAsia" w:ascii="仿宋" w:hAnsi="仿宋" w:eastAsia="仿宋" w:cs="仿宋"/>
                <w:color w:val="000000"/>
                <w:kern w:val="0"/>
                <w:sz w:val="11"/>
                <w:szCs w:val="11"/>
                <w:lang w:bidi="ar"/>
              </w:rPr>
              <w:t>中小学职业体验课4门、视频40个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975"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学前专业TAFE课程标准、专业群课程标准、七年贯通课程标准</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3个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为企业提供技术服务</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2个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1300"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面向职业院校教师“双师”素质提升培训；幼儿园、小学教育技能培训；社区育儿、艺术培训；中小学生职业体验等</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4000人天</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5000人天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6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人才培养方案、标准建设、课堂革命等项目聘请专家指导</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80学时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120学时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聘请校外专家授课课时</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260学时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300学时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69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教学资源建设及技能大师工作室等项目聘请高级校外专家参与项目建设</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20学时</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40学时</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63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北京市级创新团队——学前教育专业</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1个</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1个</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教师到幼儿园、小学及艺术机构实践、挂职</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10人天</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35人天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培养双语教学专业课教师</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1名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1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教师参加专业技能等培训</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20天</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60天</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7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教师参加课题、论文评选、微课等比赛获奖</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3项</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5项</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612"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参与艺术技能大师工作室项目教师数</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4人</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4人</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参与艺术技能大师工作室项目学生数</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30名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60名</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5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TAFE教学及本土化改革成果集</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50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贯通育人成果资料汇编</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100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5"/>
                <w:szCs w:val="15"/>
              </w:rPr>
            </w:pPr>
            <w:r>
              <w:rPr>
                <w:rFonts w:hint="eastAsia" w:ascii="仿宋" w:hAnsi="仿宋" w:eastAsia="仿宋" w:cs="仿宋"/>
                <w:color w:val="000000"/>
                <w:kern w:val="0"/>
                <w:sz w:val="15"/>
                <w:szCs w:val="15"/>
                <w:lang w:bidi="ar"/>
              </w:rPr>
              <w:t>校内外实训基地开放、共享学时</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1"/>
                <w:szCs w:val="11"/>
              </w:rPr>
            </w:pPr>
            <w:r>
              <w:rPr>
                <w:rFonts w:hint="eastAsia" w:ascii="仿宋" w:hAnsi="仿宋" w:eastAsia="仿宋" w:cs="仿宋"/>
                <w:color w:val="000000"/>
                <w:kern w:val="0"/>
                <w:sz w:val="11"/>
                <w:szCs w:val="11"/>
                <w:lang w:bidi="ar"/>
              </w:rPr>
              <w:t>≥1500学时/年</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1800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bookmarkStart w:id="0" w:name="_GoBack"/>
            <w:bookmarkEnd w:id="0"/>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3"/>
                <w:szCs w:val="13"/>
              </w:rPr>
            </w:pPr>
            <w:r>
              <w:rPr>
                <w:rFonts w:hint="eastAsia" w:ascii="仿宋" w:hAnsi="仿宋" w:eastAsia="仿宋" w:cs="仿宋"/>
                <w:color w:val="000000"/>
                <w:kern w:val="0"/>
                <w:sz w:val="13"/>
                <w:szCs w:val="13"/>
                <w:lang w:bidi="ar"/>
              </w:rPr>
              <w:t>培训参与度</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3"/>
                <w:szCs w:val="13"/>
              </w:rPr>
            </w:pPr>
            <w:r>
              <w:rPr>
                <w:rFonts w:hint="eastAsia" w:ascii="仿宋" w:hAnsi="仿宋" w:eastAsia="仿宋" w:cs="仿宋"/>
                <w:color w:val="000000"/>
                <w:kern w:val="0"/>
                <w:sz w:val="13"/>
                <w:szCs w:val="13"/>
                <w:lang w:bidi="ar"/>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3"/>
                <w:szCs w:val="13"/>
              </w:rPr>
            </w:pPr>
            <w:r>
              <w:rPr>
                <w:rFonts w:hint="eastAsia" w:ascii="仿宋" w:hAnsi="仿宋" w:eastAsia="仿宋" w:cs="仿宋"/>
                <w:color w:val="000000"/>
                <w:kern w:val="0"/>
                <w:sz w:val="13"/>
                <w:szCs w:val="13"/>
                <w:lang w:bidi="ar"/>
              </w:rPr>
              <w:t>培训覆盖率</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3"/>
                <w:szCs w:val="13"/>
              </w:rPr>
            </w:pPr>
            <w:r>
              <w:rPr>
                <w:rFonts w:hint="eastAsia" w:ascii="仿宋" w:hAnsi="仿宋" w:eastAsia="仿宋" w:cs="仿宋"/>
                <w:color w:val="000000"/>
                <w:kern w:val="0"/>
                <w:sz w:val="13"/>
                <w:szCs w:val="13"/>
                <w:lang w:bidi="ar"/>
              </w:rPr>
              <w:t>≥90%</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color w:val="000000"/>
                <w:kern w:val="0"/>
                <w:sz w:val="13"/>
                <w:szCs w:val="13"/>
              </w:rPr>
            </w:pPr>
            <w:r>
              <w:rPr>
                <w:rFonts w:hint="eastAsia" w:ascii="仿宋" w:hAnsi="仿宋" w:eastAsia="仿宋" w:cs="仿宋"/>
                <w:color w:val="000000"/>
                <w:kern w:val="0"/>
                <w:sz w:val="13"/>
                <w:szCs w:val="13"/>
                <w:lang w:bidi="ar"/>
              </w:rPr>
              <w:t>培训合格率</w:t>
            </w:r>
          </w:p>
        </w:tc>
        <w:tc>
          <w:tcPr>
            <w:tcW w:w="849" w:type="dxa"/>
            <w:tcBorders>
              <w:top w:val="single" w:color="auto" w:sz="4" w:space="0"/>
              <w:left w:val="nil"/>
              <w:bottom w:val="single" w:color="auto" w:sz="4" w:space="0"/>
              <w:right w:val="single" w:color="auto" w:sz="4" w:space="0"/>
            </w:tcBorders>
            <w:vAlign w:val="center"/>
          </w:tcPr>
          <w:p>
            <w:pPr>
              <w:widowControl/>
              <w:jc w:val="center"/>
              <w:textAlignment w:val="center"/>
              <w:rPr>
                <w:rFonts w:hint="eastAsia" w:ascii="仿宋" w:hAnsi="仿宋" w:eastAsia="仿宋" w:cs="仿宋"/>
                <w:kern w:val="0"/>
                <w:sz w:val="13"/>
                <w:szCs w:val="13"/>
              </w:rPr>
            </w:pPr>
            <w:r>
              <w:rPr>
                <w:rFonts w:hint="eastAsia" w:ascii="仿宋" w:hAnsi="仿宋" w:eastAsia="仿宋" w:cs="仿宋"/>
                <w:color w:val="000000"/>
                <w:kern w:val="0"/>
                <w:sz w:val="13"/>
                <w:szCs w:val="13"/>
                <w:lang w:bidi="ar"/>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年度项目完成时间</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 w:val="11"/>
                <w:szCs w:val="11"/>
              </w:rPr>
              <w:t>11月底前</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 w:val="13"/>
                <w:szCs w:val="13"/>
              </w:rPr>
              <w:t>11月底</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82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项目预算控制数</w:t>
            </w:r>
          </w:p>
        </w:tc>
        <w:tc>
          <w:tcPr>
            <w:tcW w:w="84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 w:val="11"/>
                <w:szCs w:val="11"/>
              </w:rPr>
            </w:pPr>
            <w:r>
              <w:rPr>
                <w:rFonts w:hint="eastAsia" w:ascii="仿宋" w:hAnsi="仿宋" w:eastAsia="仿宋" w:cs="仿宋"/>
                <w:kern w:val="0"/>
                <w:sz w:val="11"/>
                <w:szCs w:val="11"/>
              </w:rPr>
              <w:t>本项目的预算控制在26.794000万元范围之内</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sz w:val="13"/>
                <w:szCs w:val="13"/>
              </w:rPr>
              <w:t>执行21.133165万元</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1249" w:hRule="atLeas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社会效益</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w:t>
            </w:r>
          </w:p>
        </w:tc>
        <w:tc>
          <w:tcPr>
            <w:tcW w:w="2137" w:type="dxa"/>
            <w:gridSpan w:val="3"/>
            <w:tcBorders>
              <w:top w:val="single" w:color="auto" w:sz="4" w:space="0"/>
              <w:left w:val="nil"/>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kern w:val="0"/>
                <w:sz w:val="18"/>
                <w:szCs w:val="18"/>
              </w:rPr>
              <w:t>通过艺术教育专业群的建设，人才培养质量显著提升，推动“三教”改国际合作，制定国际水平的课程标准，专业群规模稳</w:t>
            </w:r>
          </w:p>
        </w:tc>
        <w:tc>
          <w:tcPr>
            <w:tcW w:w="849" w:type="dxa"/>
            <w:tcBorders>
              <w:top w:val="single" w:color="auto" w:sz="4" w:space="0"/>
              <w:left w:val="nil"/>
              <w:right w:val="single" w:color="auto" w:sz="4" w:space="0"/>
            </w:tcBorders>
            <w:vAlign w:val="center"/>
          </w:tcPr>
          <w:p>
            <w:pPr>
              <w:widowControl/>
              <w:spacing w:line="240" w:lineRule="exact"/>
              <w:jc w:val="center"/>
              <w:rPr>
                <w:rFonts w:hint="eastAsia" w:ascii="仿宋" w:hAnsi="仿宋" w:eastAsia="仿宋" w:cs="仿宋"/>
                <w:kern w:val="0"/>
                <w:sz w:val="11"/>
                <w:szCs w:val="11"/>
              </w:rPr>
            </w:pPr>
            <w:r>
              <w:rPr>
                <w:rFonts w:hint="eastAsia" w:ascii="仿宋" w:hAnsi="仿宋" w:eastAsia="仿宋" w:cs="仿宋"/>
                <w:kern w:val="0"/>
                <w:sz w:val="20"/>
                <w:szCs w:val="20"/>
              </w:rPr>
              <w:t>优</w:t>
            </w:r>
          </w:p>
        </w:tc>
        <w:tc>
          <w:tcPr>
            <w:tcW w:w="848" w:type="dxa"/>
            <w:tcBorders>
              <w:top w:val="single" w:color="auto" w:sz="4" w:space="0"/>
              <w:left w:val="nil"/>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优</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30</w:t>
            </w:r>
          </w:p>
        </w:tc>
        <w:tc>
          <w:tcPr>
            <w:tcW w:w="563" w:type="dxa"/>
            <w:gridSpan w:val="2"/>
            <w:tcBorders>
              <w:top w:val="single" w:color="auto" w:sz="4" w:space="0"/>
              <w:left w:val="nil"/>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30</w:t>
            </w:r>
          </w:p>
        </w:tc>
        <w:tc>
          <w:tcPr>
            <w:tcW w:w="1413" w:type="dxa"/>
            <w:gridSpan w:val="2"/>
            <w:tcBorders>
              <w:top w:val="single" w:color="auto" w:sz="4" w:space="0"/>
              <w:left w:val="nil"/>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满意度</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学生满意度</w:t>
            </w:r>
          </w:p>
        </w:tc>
        <w:tc>
          <w:tcPr>
            <w:tcW w:w="849" w:type="dxa"/>
            <w:tcBorders>
              <w:top w:val="single" w:color="auto" w:sz="4" w:space="0"/>
              <w:left w:val="nil"/>
              <w:bottom w:val="single" w:color="auto" w:sz="4" w:space="0"/>
              <w:right w:val="single" w:color="auto" w:sz="4" w:space="0"/>
            </w:tcBorders>
            <w:vAlign w:val="center"/>
          </w:tcPr>
          <w:p>
            <w:pPr>
              <w:widowControl/>
              <w:jc w:val="center"/>
              <w:rPr>
                <w:rFonts w:hint="eastAsia" w:ascii="仿宋" w:hAnsi="仿宋" w:eastAsia="仿宋" w:cs="仿宋"/>
                <w:kern w:val="0"/>
                <w:szCs w:val="21"/>
              </w:rPr>
            </w:pPr>
            <w:r>
              <w:rPr>
                <w:rFonts w:hint="eastAsia" w:ascii="仿宋" w:hAnsi="仿宋" w:eastAsia="仿宋" w:cs="仿宋"/>
                <w:sz w:val="20"/>
                <w:szCs w:val="20"/>
              </w:rPr>
              <w:t>≥98%</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jc w:val="left"/>
              <w:rPr>
                <w:rFonts w:hint="eastAsia" w:ascii="仿宋" w:hAnsi="仿宋" w:eastAsia="仿宋" w:cs="仿宋"/>
                <w:color w:val="000000"/>
                <w:kern w:val="0"/>
                <w:szCs w:val="21"/>
              </w:rPr>
            </w:pPr>
            <w:r>
              <w:rPr>
                <w:rFonts w:hint="eastAsia" w:ascii="仿宋" w:hAnsi="仿宋" w:eastAsia="仿宋" w:cs="仿宋"/>
                <w:sz w:val="20"/>
                <w:szCs w:val="20"/>
              </w:rPr>
              <w:t>用人单位满意度</w:t>
            </w:r>
          </w:p>
        </w:tc>
        <w:tc>
          <w:tcPr>
            <w:tcW w:w="849" w:type="dxa"/>
            <w:tcBorders>
              <w:top w:val="single" w:color="auto" w:sz="4" w:space="0"/>
              <w:left w:val="nil"/>
              <w:bottom w:val="single" w:color="auto" w:sz="4" w:space="0"/>
              <w:right w:val="single" w:color="auto" w:sz="4" w:space="0"/>
            </w:tcBorders>
            <w:vAlign w:val="center"/>
          </w:tcPr>
          <w:p>
            <w:pPr>
              <w:jc w:val="center"/>
              <w:rPr>
                <w:rFonts w:hint="eastAsia" w:ascii="仿宋" w:hAnsi="仿宋" w:eastAsia="仿宋" w:cs="仿宋"/>
                <w:kern w:val="0"/>
                <w:szCs w:val="21"/>
              </w:rPr>
            </w:pPr>
            <w:r>
              <w:rPr>
                <w:rFonts w:hint="eastAsia" w:ascii="仿宋" w:hAnsi="仿宋" w:eastAsia="仿宋" w:cs="仿宋"/>
                <w:sz w:val="20"/>
                <w:szCs w:val="20"/>
              </w:rPr>
              <w:t>≥95%</w:t>
            </w:r>
          </w:p>
        </w:tc>
        <w:tc>
          <w:tcPr>
            <w:tcW w:w="84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98%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477" w:hRule="exact"/>
          <w:jc w:val="center"/>
        </w:trPr>
        <w:tc>
          <w:tcPr>
            <w:tcW w:w="649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lang w:val="en-US" w:eastAsia="zh-CN"/>
              </w:rPr>
            </w:pPr>
            <w:r>
              <w:rPr>
                <w:rFonts w:hint="eastAsia" w:ascii="仿宋" w:hAnsi="仿宋" w:eastAsia="仿宋" w:cs="仿宋"/>
                <w:color w:val="000000"/>
                <w:kern w:val="0"/>
                <w:szCs w:val="21"/>
              </w:rPr>
              <w:t>99</w:t>
            </w:r>
            <w:r>
              <w:rPr>
                <w:rFonts w:hint="eastAsia" w:ascii="仿宋" w:hAnsi="仿宋" w:eastAsia="仿宋" w:cs="仿宋"/>
                <w:color w:val="000000"/>
                <w:kern w:val="0"/>
                <w:szCs w:val="21"/>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bl>
    <w:tbl>
      <w:tblPr>
        <w:tblStyle w:val="6"/>
        <w:tblpPr w:leftFromText="180" w:rightFromText="180" w:vertAnchor="text" w:tblpX="-4594" w:tblpY="-16883"/>
        <w:tblOverlap w:val="never"/>
        <w:tblW w:w="290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hidden/>
        </w:trPr>
        <w:tc>
          <w:tcPr>
            <w:tcW w:w="2903" w:type="dxa"/>
          </w:tcPr>
          <w:p>
            <w:pPr>
              <w:rPr>
                <w:rFonts w:ascii="仿宋_GB2312" w:eastAsia="仿宋_GB2312"/>
                <w:vanish/>
                <w:sz w:val="32"/>
                <w:szCs w:val="32"/>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JhMWRjNzk2NzdmZTM0MDI2N2NlMGE2MDNhMzM5ODkifQ=="/>
  </w:docVars>
  <w:rsids>
    <w:rsidRoot w:val="F77F09F4"/>
    <w:rsid w:val="00352E51"/>
    <w:rsid w:val="0040367A"/>
    <w:rsid w:val="004C50B2"/>
    <w:rsid w:val="00595059"/>
    <w:rsid w:val="005C6300"/>
    <w:rsid w:val="00621416"/>
    <w:rsid w:val="007F5088"/>
    <w:rsid w:val="00831ABF"/>
    <w:rsid w:val="00841C4E"/>
    <w:rsid w:val="0087708E"/>
    <w:rsid w:val="00881292"/>
    <w:rsid w:val="00896E4B"/>
    <w:rsid w:val="008E75BE"/>
    <w:rsid w:val="009551DD"/>
    <w:rsid w:val="0096118D"/>
    <w:rsid w:val="009A25AE"/>
    <w:rsid w:val="00A01B67"/>
    <w:rsid w:val="00B12301"/>
    <w:rsid w:val="00B14D72"/>
    <w:rsid w:val="00BE0E1E"/>
    <w:rsid w:val="00BE40BE"/>
    <w:rsid w:val="00C06CB9"/>
    <w:rsid w:val="00CF02BE"/>
    <w:rsid w:val="00D534E2"/>
    <w:rsid w:val="00E82C41"/>
    <w:rsid w:val="00FC1426"/>
    <w:rsid w:val="01A11E4A"/>
    <w:rsid w:val="052908B2"/>
    <w:rsid w:val="0B942864"/>
    <w:rsid w:val="1C476E54"/>
    <w:rsid w:val="37173543"/>
    <w:rsid w:val="3A9B54C7"/>
    <w:rsid w:val="3FF76880"/>
    <w:rsid w:val="4F121BB8"/>
    <w:rsid w:val="7AB7FF50"/>
    <w:rsid w:val="7BFEB0DB"/>
    <w:rsid w:val="7F1A0617"/>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7">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3</Pages>
  <Words>1710</Words>
  <Characters>1927</Characters>
  <Lines>16</Lines>
  <Paragraphs>4</Paragraphs>
  <TotalTime>18</TotalTime>
  <ScaleCrop>false</ScaleCrop>
  <LinksUpToDate>false</LinksUpToDate>
  <CharactersWithSpaces>1965</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86134</cp:lastModifiedBy>
  <cp:lastPrinted>2022-03-24T10:01:00Z</cp:lastPrinted>
  <dcterms:modified xsi:type="dcterms:W3CDTF">2023-05-18T14:24:01Z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FA735A3563414859845F07895C35BDA8_12</vt:lpwstr>
  </property>
</Properties>
</file>