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9196" w:type="dxa"/>
        <w:jc w:val="center"/>
        <w:tblLayout w:type="fixed"/>
        <w:tblCellMar>
          <w:top w:w="0" w:type="dxa"/>
          <w:left w:w="108" w:type="dxa"/>
          <w:bottom w:w="0" w:type="dxa"/>
          <w:right w:w="108" w:type="dxa"/>
        </w:tblCellMar>
      </w:tblPr>
      <w:tblGrid>
        <w:gridCol w:w="585"/>
        <w:gridCol w:w="738"/>
        <w:gridCol w:w="1187"/>
        <w:gridCol w:w="155"/>
        <w:gridCol w:w="958"/>
        <w:gridCol w:w="100"/>
        <w:gridCol w:w="912"/>
        <w:gridCol w:w="1425"/>
        <w:gridCol w:w="388"/>
        <w:gridCol w:w="669"/>
        <w:gridCol w:w="468"/>
        <w:gridCol w:w="216"/>
        <w:gridCol w:w="630"/>
        <w:gridCol w:w="765"/>
      </w:tblGrid>
      <w:tr>
        <w:tblPrEx>
          <w:tblCellMar>
            <w:top w:w="0" w:type="dxa"/>
            <w:left w:w="108" w:type="dxa"/>
            <w:bottom w:w="0" w:type="dxa"/>
            <w:right w:w="108" w:type="dxa"/>
          </w:tblCellMar>
        </w:tblPrEx>
        <w:trPr>
          <w:trHeight w:val="306" w:hRule="exact"/>
          <w:jc w:val="center"/>
        </w:trPr>
        <w:tc>
          <w:tcPr>
            <w:tcW w:w="132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87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特高建设-特高院校-提升国际化水平项目</w:t>
            </w:r>
          </w:p>
        </w:tc>
      </w:tr>
      <w:tr>
        <w:tblPrEx>
          <w:tblCellMar>
            <w:top w:w="0" w:type="dxa"/>
            <w:left w:w="108" w:type="dxa"/>
            <w:bottom w:w="0" w:type="dxa"/>
            <w:right w:w="108" w:type="dxa"/>
          </w:tblCellMar>
        </w:tblPrEx>
        <w:trPr>
          <w:trHeight w:val="919" w:hRule="exact"/>
          <w:jc w:val="center"/>
        </w:trPr>
        <w:tc>
          <w:tcPr>
            <w:tcW w:w="132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31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北京一商集团有限责任公司</w:t>
            </w:r>
          </w:p>
        </w:tc>
        <w:tc>
          <w:tcPr>
            <w:tcW w:w="18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实施单位</w:t>
            </w:r>
          </w:p>
        </w:tc>
        <w:tc>
          <w:tcPr>
            <w:tcW w:w="274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北京市商业学校（北京祥龙资产经营有限责任公司党校）</w:t>
            </w:r>
          </w:p>
        </w:tc>
      </w:tr>
      <w:tr>
        <w:tblPrEx>
          <w:tblCellMar>
            <w:top w:w="0" w:type="dxa"/>
            <w:left w:w="108" w:type="dxa"/>
            <w:bottom w:w="0" w:type="dxa"/>
            <w:right w:w="108" w:type="dxa"/>
          </w:tblCellMar>
        </w:tblPrEx>
        <w:trPr>
          <w:trHeight w:val="306" w:hRule="exact"/>
          <w:jc w:val="center"/>
        </w:trPr>
        <w:tc>
          <w:tcPr>
            <w:tcW w:w="132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31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王瑾</w:t>
            </w:r>
          </w:p>
        </w:tc>
        <w:tc>
          <w:tcPr>
            <w:tcW w:w="18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74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15611001206</w:t>
            </w:r>
          </w:p>
        </w:tc>
      </w:tr>
      <w:tr>
        <w:tblPrEx>
          <w:tblCellMar>
            <w:top w:w="0" w:type="dxa"/>
            <w:left w:w="108" w:type="dxa"/>
            <w:bottom w:w="0" w:type="dxa"/>
            <w:right w:w="108" w:type="dxa"/>
          </w:tblCellMar>
        </w:tblPrEx>
        <w:trPr>
          <w:trHeight w:val="567" w:hRule="exact"/>
          <w:jc w:val="center"/>
        </w:trPr>
        <w:tc>
          <w:tcPr>
            <w:tcW w:w="132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1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8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全年</w:t>
            </w:r>
          </w:p>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执行数</w:t>
            </w:r>
          </w:p>
        </w:tc>
        <w:tc>
          <w:tcPr>
            <w:tcW w:w="113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执行率</w:t>
            </w:r>
          </w:p>
        </w:tc>
        <w:tc>
          <w:tcPr>
            <w:tcW w:w="76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得分</w:t>
            </w:r>
          </w:p>
        </w:tc>
      </w:tr>
      <w:tr>
        <w:tblPrEx>
          <w:tblCellMar>
            <w:top w:w="0" w:type="dxa"/>
            <w:left w:w="108" w:type="dxa"/>
            <w:bottom w:w="0" w:type="dxa"/>
            <w:right w:w="108" w:type="dxa"/>
          </w:tblCellMar>
        </w:tblPrEx>
        <w:trPr>
          <w:trHeight w:val="558" w:hRule="exact"/>
          <w:jc w:val="center"/>
        </w:trPr>
        <w:tc>
          <w:tcPr>
            <w:tcW w:w="132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87"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86.4864</w:t>
            </w:r>
          </w:p>
        </w:tc>
        <w:tc>
          <w:tcPr>
            <w:tcW w:w="10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80.7864</w:t>
            </w:r>
          </w:p>
        </w:tc>
        <w:tc>
          <w:tcPr>
            <w:tcW w:w="18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69.328376</w:t>
            </w:r>
          </w:p>
        </w:tc>
        <w:tc>
          <w:tcPr>
            <w:tcW w:w="113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85.82</w:t>
            </w:r>
          </w:p>
        </w:tc>
        <w:tc>
          <w:tcPr>
            <w:tcW w:w="765"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8.58</w:t>
            </w:r>
          </w:p>
        </w:tc>
      </w:tr>
      <w:tr>
        <w:tblPrEx>
          <w:tblCellMar>
            <w:top w:w="0" w:type="dxa"/>
            <w:left w:w="108" w:type="dxa"/>
            <w:bottom w:w="0" w:type="dxa"/>
            <w:right w:w="108" w:type="dxa"/>
          </w:tblCellMar>
        </w:tblPrEx>
        <w:trPr>
          <w:trHeight w:val="569" w:hRule="exact"/>
          <w:jc w:val="center"/>
        </w:trPr>
        <w:tc>
          <w:tcPr>
            <w:tcW w:w="132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86.4864</w:t>
            </w:r>
          </w:p>
        </w:tc>
        <w:tc>
          <w:tcPr>
            <w:tcW w:w="10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80.7864</w:t>
            </w:r>
          </w:p>
        </w:tc>
        <w:tc>
          <w:tcPr>
            <w:tcW w:w="18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lang w:val="en-US" w:eastAsia="zh-CN"/>
              </w:rPr>
              <w:t>69.328376</w:t>
            </w:r>
          </w:p>
        </w:tc>
        <w:tc>
          <w:tcPr>
            <w:tcW w:w="113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lang w:val="en-US" w:eastAsia="zh-CN"/>
              </w:rPr>
              <w:t>85.82</w:t>
            </w:r>
          </w:p>
        </w:tc>
        <w:tc>
          <w:tcPr>
            <w:tcW w:w="76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85" w:hRule="exact"/>
          <w:jc w:val="center"/>
        </w:trPr>
        <w:tc>
          <w:tcPr>
            <w:tcW w:w="132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 xml:space="preserve"> 0</w:t>
            </w:r>
          </w:p>
        </w:tc>
        <w:tc>
          <w:tcPr>
            <w:tcW w:w="10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8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13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0</w:t>
            </w:r>
          </w:p>
        </w:tc>
        <w:tc>
          <w:tcPr>
            <w:tcW w:w="76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98" w:hRule="exact"/>
          <w:jc w:val="center"/>
        </w:trPr>
        <w:tc>
          <w:tcPr>
            <w:tcW w:w="132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0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8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13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0</w:t>
            </w:r>
          </w:p>
        </w:tc>
        <w:tc>
          <w:tcPr>
            <w:tcW w:w="76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05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56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bookmarkStart w:id="0" w:name="_GoBack"/>
            <w:bookmarkEnd w:id="0"/>
          </w:p>
        </w:tc>
      </w:tr>
      <w:tr>
        <w:tblPrEx>
          <w:tblCellMar>
            <w:top w:w="0" w:type="dxa"/>
            <w:left w:w="108" w:type="dxa"/>
            <w:bottom w:w="0" w:type="dxa"/>
            <w:right w:w="108" w:type="dxa"/>
          </w:tblCellMar>
        </w:tblPrEx>
        <w:trPr>
          <w:trHeight w:val="7741"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5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 xml:space="preserve">  </w:t>
            </w:r>
            <w:r>
              <w:rPr>
                <w:rFonts w:hint="eastAsia" w:ascii="仿宋_GB2312" w:hAnsi="宋体" w:eastAsia="仿宋_GB2312" w:cs="宋体"/>
                <w:kern w:val="0"/>
                <w:szCs w:val="21"/>
                <w:lang w:val="en-US" w:eastAsia="zh-CN"/>
              </w:rPr>
              <w:t xml:space="preserve">  </w:t>
            </w:r>
            <w:r>
              <w:rPr>
                <w:rFonts w:hint="eastAsia" w:ascii="仿宋_GB2312" w:hAnsi="宋体" w:eastAsia="仿宋_GB2312" w:cs="宋体"/>
                <w:kern w:val="0"/>
                <w:szCs w:val="21"/>
              </w:rPr>
              <w:t>2022年是提升国际化水平项目建设的第三年。在培养培训方面，共享MODUL旅游学院优质教学资源，结合酒店专业高密度实践教学和高质量校企合作的特点，最终实现校企双方资源协同办学和</w:t>
            </w:r>
            <w:r>
              <w:rPr>
                <w:rFonts w:hint="eastAsia" w:ascii="仿宋_GB2312" w:hAnsi="宋体" w:eastAsia="仿宋_GB2312" w:cs="宋体"/>
                <w:kern w:val="0"/>
                <w:szCs w:val="21"/>
                <w:lang w:val="en-US" w:eastAsia="zh-CN"/>
              </w:rPr>
              <w:t>形势</w:t>
            </w:r>
            <w:r>
              <w:rPr>
                <w:rFonts w:hint="eastAsia" w:ascii="仿宋_GB2312" w:hAnsi="宋体" w:eastAsia="仿宋_GB2312" w:cs="宋体"/>
                <w:kern w:val="0"/>
                <w:szCs w:val="21"/>
              </w:rPr>
              <w:t>，推动国际学生项目，积累国际学生培养经验，不断提高教学质量，确保来华国际学生稳步发展，力争开展国际学生学历教育，激发国际合作办学活力，增强首都职业教育国际影响力；根据国际</w:t>
            </w:r>
            <w:r>
              <w:rPr>
                <w:rFonts w:hint="eastAsia" w:ascii="仿宋_GB2312" w:hAnsi="宋体" w:eastAsia="仿宋_GB2312" w:cs="宋体"/>
                <w:kern w:val="0"/>
                <w:szCs w:val="21"/>
                <w:lang w:val="en-US" w:eastAsia="zh-CN"/>
              </w:rPr>
              <w:t>形势</w:t>
            </w:r>
            <w:r>
              <w:rPr>
                <w:rFonts w:hint="eastAsia" w:ascii="仿宋_GB2312" w:hAnsi="宋体" w:eastAsia="仿宋_GB2312" w:cs="宋体"/>
                <w:kern w:val="0"/>
                <w:szCs w:val="21"/>
              </w:rPr>
              <w:t>，稳步推动职业院校国际贯通教育，有计划、有步骤地开展国际贯通项目，全方位培养满足海外留学要求的高质量国际贯通学生，成为首都高水平职业教育中外合作项目的典范；落实电商行指委和祥龙公司要求，进行电商谷总部基地建设，将电商谷基地建成中国职业教育发展成果展示中心、数字经济商业模式体验中心、人文和经贸合作洽谈中心以及职业教育国际培训中心；开展援外项目，扩大学校一带一路朋友圈，建立广泛深厚的国际基础，展示北京职教特色与实力，通过教师、教育的多元交流，促进与沿线国家的文化融通，扩大我国职业教育在“一带一路”国家的积极影响。在教学模式方面，总结TAFE、胡格、中奥酒店等项目的专业教学模式。在标准建设方面，继续开发电商专业国际化课程标准，全面推进“行业+业内领先企业”产教融合生态服务职业教育高水平发展。会计、学前、电子商务、酒店、物流等专业继续扩大本土化成果。</w:t>
            </w:r>
          </w:p>
        </w:tc>
        <w:tc>
          <w:tcPr>
            <w:tcW w:w="4561" w:type="dxa"/>
            <w:gridSpan w:val="7"/>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2022年提升国际化水平项目全部完成预定目标。</w:t>
            </w:r>
          </w:p>
          <w:p>
            <w:pPr>
              <w:widowControl/>
              <w:numPr>
                <w:ilvl w:val="0"/>
                <w:numId w:val="1"/>
              </w:numPr>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培养培训</w:t>
            </w:r>
          </w:p>
          <w:p>
            <w:pPr>
              <w:widowControl/>
              <w:numPr>
                <w:ilvl w:val="0"/>
                <w:numId w:val="2"/>
              </w:numPr>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与MODUL旅游学院在外评、外教培训等方面开展深度合作，与酒店企业实现</w:t>
            </w:r>
            <w:r>
              <w:rPr>
                <w:rFonts w:hint="eastAsia" w:ascii="仿宋_GB2312" w:hAnsi="宋体" w:eastAsia="仿宋_GB2312" w:cs="宋体"/>
                <w:kern w:val="0"/>
                <w:szCs w:val="21"/>
              </w:rPr>
              <w:t>校企双方资源协同办学和深度参与专业人才培养全过程</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获招3年制学生批复；</w:t>
            </w:r>
          </w:p>
          <w:p>
            <w:pPr>
              <w:widowControl/>
              <w:numPr>
                <w:ilvl w:val="0"/>
                <w:numId w:val="2"/>
              </w:numPr>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在国际学生项目上学校利用线上优势，开展6个月的中巴短期国际学生“中文+Python”课程培训，积累了国际学生管理经验，与巴基斯坦旁遮普省和信德省职教局签订合作备忘，</w:t>
            </w:r>
            <w:r>
              <w:rPr>
                <w:rFonts w:hint="eastAsia" w:ascii="仿宋_GB2312" w:hAnsi="宋体" w:eastAsia="仿宋_GB2312" w:cs="宋体"/>
                <w:kern w:val="0"/>
                <w:szCs w:val="21"/>
              </w:rPr>
              <w:t>增强首都职业教</w:t>
            </w:r>
            <w:r>
              <w:rPr>
                <w:rFonts w:hint="eastAsia" w:ascii="仿宋_GB2312" w:hAnsi="宋体" w:eastAsia="仿宋_GB2312" w:cs="宋体"/>
                <w:kern w:val="0"/>
                <w:szCs w:val="21"/>
                <w:lang w:val="en-US" w:eastAsia="zh-CN"/>
              </w:rPr>
              <w:t>育国际影响力；</w:t>
            </w:r>
          </w:p>
          <w:p>
            <w:pPr>
              <w:widowControl/>
              <w:numPr>
                <w:ilvl w:val="0"/>
                <w:numId w:val="2"/>
              </w:numPr>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学校入选全国100所职业院校国际交流与合作办学典型院校，成为高水平职业教育中外合作项目的典范；</w:t>
            </w:r>
          </w:p>
          <w:p>
            <w:pPr>
              <w:widowControl/>
              <w:numPr>
                <w:ilvl w:val="0"/>
                <w:numId w:val="2"/>
              </w:numPr>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建设跨境电子商务综合实训中心，三年来共建4个实训中心，支撑了</w:t>
            </w:r>
            <w:r>
              <w:rPr>
                <w:rFonts w:hint="eastAsia" w:ascii="仿宋_GB2312" w:hAnsi="宋体" w:eastAsia="仿宋_GB2312" w:cs="宋体"/>
                <w:kern w:val="0"/>
                <w:szCs w:val="21"/>
              </w:rPr>
              <w:t>电商谷基地</w:t>
            </w:r>
            <w:r>
              <w:rPr>
                <w:rFonts w:hint="eastAsia" w:ascii="仿宋_GB2312" w:hAnsi="宋体" w:eastAsia="仿宋_GB2312" w:cs="宋体"/>
                <w:kern w:val="0"/>
                <w:szCs w:val="21"/>
                <w:lang w:eastAsia="zh-CN"/>
              </w:rPr>
              <w:t>的</w:t>
            </w:r>
            <w:r>
              <w:rPr>
                <w:rFonts w:hint="eastAsia" w:ascii="仿宋_GB2312" w:hAnsi="宋体" w:eastAsia="仿宋_GB2312" w:cs="宋体"/>
                <w:kern w:val="0"/>
                <w:szCs w:val="21"/>
                <w:lang w:val="en-US" w:eastAsia="zh-CN"/>
              </w:rPr>
              <w:t>建设目标</w:t>
            </w:r>
            <w:r>
              <w:rPr>
                <w:rFonts w:hint="eastAsia" w:ascii="仿宋_GB2312" w:hAnsi="宋体" w:eastAsia="仿宋_GB2312" w:cs="宋体"/>
                <w:kern w:val="0"/>
                <w:szCs w:val="21"/>
              </w:rPr>
              <w:t>；</w:t>
            </w:r>
          </w:p>
          <w:p>
            <w:pPr>
              <w:widowControl/>
              <w:numPr>
                <w:ilvl w:val="0"/>
                <w:numId w:val="2"/>
              </w:numPr>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开展援外项目，扩大学校一带一路朋友圈，建立广泛深厚的国际基础，展示北京职教特色与实力，通过教师、教育的多元交流，促进与沿线国家的文化融通，扩大我国职业教育在“一带一路”国家的积极影响</w:t>
            </w:r>
            <w:r>
              <w:rPr>
                <w:rFonts w:hint="eastAsia" w:ascii="仿宋_GB2312" w:hAnsi="宋体" w:eastAsia="仿宋_GB2312" w:cs="宋体"/>
                <w:kern w:val="0"/>
                <w:szCs w:val="21"/>
                <w:lang w:eastAsia="zh-CN"/>
              </w:rPr>
              <w:t>。</w:t>
            </w:r>
          </w:p>
          <w:p>
            <w:pPr>
              <w:widowControl/>
              <w:numPr>
                <w:ilvl w:val="0"/>
                <w:numId w:val="1"/>
              </w:numPr>
              <w:spacing w:line="240" w:lineRule="exact"/>
              <w:ind w:left="0" w:leftChars="0" w:firstLine="0" w:firstLineChars="0"/>
              <w:jc w:val="both"/>
              <w:rPr>
                <w:rFonts w:hint="eastAsia" w:ascii="仿宋_GB2312" w:hAnsi="宋体" w:eastAsia="仿宋_GB2312" w:cs="宋体"/>
                <w:kern w:val="0"/>
                <w:szCs w:val="21"/>
              </w:rPr>
            </w:pPr>
            <w:r>
              <w:rPr>
                <w:rFonts w:hint="eastAsia" w:ascii="仿宋_GB2312" w:hAnsi="宋体" w:eastAsia="仿宋_GB2312" w:cs="宋体"/>
                <w:kern w:val="0"/>
                <w:szCs w:val="21"/>
              </w:rPr>
              <w:t>教学模式</w:t>
            </w:r>
          </w:p>
          <w:p>
            <w:pPr>
              <w:widowControl/>
              <w:numPr>
                <w:ilvl w:val="0"/>
                <w:numId w:val="0"/>
              </w:numPr>
              <w:spacing w:line="240" w:lineRule="exact"/>
              <w:ind w:leftChars="0"/>
              <w:jc w:val="both"/>
              <w:rPr>
                <w:rFonts w:hint="eastAsia" w:ascii="仿宋_GB2312" w:hAnsi="宋体" w:eastAsia="仿宋_GB2312" w:cs="宋体"/>
                <w:kern w:val="0"/>
                <w:szCs w:val="21"/>
              </w:rPr>
            </w:pPr>
            <w:r>
              <w:rPr>
                <w:rFonts w:hint="eastAsia" w:ascii="仿宋_GB2312" w:hAnsi="宋体" w:eastAsia="仿宋_GB2312" w:cs="宋体"/>
                <w:kern w:val="0"/>
                <w:szCs w:val="21"/>
              </w:rPr>
              <w:t>总结TAFE、胡格、中奥酒店等项目的专业教学模式</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不断深化本土化工作，辐射全校各专业</w:t>
            </w:r>
            <w:r>
              <w:rPr>
                <w:rFonts w:hint="eastAsia" w:ascii="仿宋_GB2312" w:hAnsi="宋体" w:eastAsia="仿宋_GB2312" w:cs="宋体"/>
                <w:kern w:val="0"/>
                <w:szCs w:val="21"/>
              </w:rPr>
              <w:t>。</w:t>
            </w:r>
          </w:p>
          <w:p>
            <w:pPr>
              <w:widowControl/>
              <w:numPr>
                <w:ilvl w:val="0"/>
                <w:numId w:val="1"/>
              </w:numPr>
              <w:spacing w:line="240" w:lineRule="exact"/>
              <w:ind w:left="0" w:leftChars="0" w:firstLine="0" w:firstLineChars="0"/>
              <w:jc w:val="both"/>
              <w:rPr>
                <w:rFonts w:hint="eastAsia" w:ascii="仿宋_GB2312" w:hAnsi="宋体" w:eastAsia="仿宋_GB2312" w:cs="宋体"/>
                <w:kern w:val="0"/>
                <w:szCs w:val="21"/>
              </w:rPr>
            </w:pPr>
            <w:r>
              <w:rPr>
                <w:rFonts w:hint="eastAsia" w:ascii="仿宋_GB2312" w:hAnsi="宋体" w:eastAsia="仿宋_GB2312" w:cs="宋体"/>
                <w:kern w:val="0"/>
                <w:szCs w:val="21"/>
              </w:rPr>
              <w:t>标准建设</w:t>
            </w:r>
          </w:p>
          <w:p>
            <w:pPr>
              <w:widowControl/>
              <w:numPr>
                <w:ilvl w:val="0"/>
                <w:numId w:val="0"/>
              </w:numPr>
              <w:spacing w:line="240" w:lineRule="exact"/>
              <w:ind w:leftChars="0"/>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继续开发电商专业国际化课程标准，全面推进“行业+业内领先企业”产教融合生态服务职业教育高水平发展。会计、学前、电子商务、酒店、物流等专业继续扩大本土化成果。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3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7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34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指标1：</w:t>
            </w:r>
            <w:r>
              <w:rPr>
                <w:rFonts w:hint="eastAsia" w:ascii="仿宋_GB2312" w:hAnsi="宋体" w:eastAsia="仿宋_GB2312" w:cs="宋体"/>
                <w:color w:val="000000"/>
                <w:kern w:val="0"/>
                <w:szCs w:val="21"/>
                <w:highlight w:val="none"/>
                <w:lang w:val="en-US" w:eastAsia="zh-CN"/>
              </w:rPr>
              <w:t>校内教师培训</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color w:val="000000"/>
                <w:kern w:val="0"/>
                <w:szCs w:val="21"/>
                <w:highlight w:val="none"/>
                <w:lang w:val="en-US" w:eastAsia="zh-CN"/>
              </w:rPr>
              <w:t>11人</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99人</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8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val="en-US" w:eastAsia="zh-CN"/>
              </w:rPr>
              <w:t>出版教材</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1本</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1本</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7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接待外宾团次/人次</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1个/13人</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2</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0</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受疫情影响转为线上交流</w:t>
            </w:r>
          </w:p>
        </w:tc>
      </w:tr>
      <w:tr>
        <w:tblPrEx>
          <w:tblCellMar>
            <w:top w:w="0" w:type="dxa"/>
            <w:left w:w="108" w:type="dxa"/>
            <w:bottom w:w="0" w:type="dxa"/>
            <w:right w:w="108" w:type="dxa"/>
          </w:tblCellMar>
        </w:tblPrEx>
        <w:trPr>
          <w:trHeight w:val="7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4：邀请外国专家</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2人</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2人</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2</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2</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5：邀请国内专家</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20人</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20人</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2</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2</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无偏差</w:t>
            </w:r>
          </w:p>
        </w:tc>
      </w:tr>
      <w:tr>
        <w:tblPrEx>
          <w:tblCellMar>
            <w:top w:w="0" w:type="dxa"/>
            <w:left w:w="108" w:type="dxa"/>
            <w:bottom w:w="0" w:type="dxa"/>
            <w:right w:w="108" w:type="dxa"/>
          </w:tblCellMar>
        </w:tblPrEx>
        <w:trPr>
          <w:trHeight w:val="7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6：</w:t>
            </w:r>
            <w:r>
              <w:rPr>
                <w:rFonts w:hint="eastAsia" w:ascii="仿宋_GB2312" w:hAnsi="宋体" w:eastAsia="仿宋_GB2312" w:cs="宋体"/>
                <w:color w:val="000000"/>
                <w:kern w:val="0"/>
                <w:szCs w:val="21"/>
                <w:highlight w:val="none"/>
                <w:lang w:val="en-US" w:eastAsia="zh-CN"/>
              </w:rPr>
              <w:t>新增</w:t>
            </w:r>
            <w:r>
              <w:rPr>
                <w:rFonts w:hint="eastAsia" w:ascii="仿宋_GB2312" w:hAnsi="宋体" w:eastAsia="仿宋_GB2312" w:cs="宋体"/>
                <w:color w:val="000000"/>
                <w:kern w:val="0"/>
                <w:szCs w:val="21"/>
                <w:highlight w:val="none"/>
              </w:rPr>
              <w:t>触</w:t>
            </w:r>
            <w:r>
              <w:rPr>
                <w:rFonts w:hint="eastAsia" w:ascii="仿宋_GB2312" w:hAnsi="宋体" w:eastAsia="仿宋_GB2312" w:cs="宋体"/>
                <w:color w:val="000000"/>
                <w:kern w:val="0"/>
                <w:szCs w:val="21"/>
              </w:rPr>
              <w:t>控一体机</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1台</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1台</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8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7：新增</w:t>
            </w:r>
            <w:r>
              <w:rPr>
                <w:rFonts w:hint="eastAsia" w:ascii="仿宋_GB2312" w:hAnsi="宋体" w:eastAsia="仿宋_GB2312" w:cs="宋体"/>
                <w:color w:val="000000"/>
                <w:kern w:val="0"/>
                <w:szCs w:val="21"/>
              </w:rPr>
              <w:t>台式计算机</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31台</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31台</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8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8：新增电脑桌、</w:t>
            </w:r>
            <w:r>
              <w:rPr>
                <w:rFonts w:hint="eastAsia" w:ascii="仿宋_GB2312" w:hAnsi="宋体" w:eastAsia="仿宋_GB2312" w:cs="宋体"/>
                <w:color w:val="000000"/>
                <w:kern w:val="0"/>
                <w:szCs w:val="21"/>
              </w:rPr>
              <w:t>椅</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30套</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30套</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47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9：新增</w:t>
            </w:r>
            <w:r>
              <w:rPr>
                <w:rFonts w:hint="eastAsia" w:ascii="仿宋_GB2312" w:hAnsi="宋体" w:eastAsia="仿宋_GB2312" w:cs="宋体"/>
                <w:color w:val="000000"/>
                <w:kern w:val="0"/>
                <w:szCs w:val="21"/>
              </w:rPr>
              <w:t>录播一体机</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1台</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1台</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7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10：新增</w:t>
            </w:r>
            <w:r>
              <w:rPr>
                <w:rFonts w:hint="eastAsia" w:ascii="仿宋_GB2312" w:hAnsi="宋体" w:eastAsia="仿宋_GB2312" w:cs="宋体"/>
                <w:color w:val="000000"/>
                <w:kern w:val="0"/>
                <w:szCs w:val="21"/>
              </w:rPr>
              <w:t>嵌入式录播系统</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9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11：新增</w:t>
            </w:r>
            <w:r>
              <w:rPr>
                <w:rFonts w:hint="eastAsia" w:ascii="仿宋_GB2312" w:hAnsi="宋体" w:eastAsia="仿宋_GB2312" w:cs="宋体"/>
                <w:color w:val="000000"/>
                <w:kern w:val="0"/>
                <w:szCs w:val="21"/>
              </w:rPr>
              <w:t>高清云台摄像机</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5台</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5台</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7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12：新增</w:t>
            </w:r>
            <w:r>
              <w:rPr>
                <w:rFonts w:hint="eastAsia" w:ascii="仿宋_GB2312" w:hAnsi="宋体" w:eastAsia="仿宋_GB2312" w:cs="宋体"/>
                <w:color w:val="000000"/>
                <w:kern w:val="0"/>
                <w:szCs w:val="21"/>
              </w:rPr>
              <w:t>指向性话筒</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8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13：新增</w:t>
            </w:r>
            <w:r>
              <w:rPr>
                <w:rFonts w:hint="eastAsia" w:ascii="仿宋_GB2312" w:hAnsi="宋体" w:eastAsia="仿宋_GB2312" w:cs="宋体"/>
                <w:color w:val="000000"/>
                <w:kern w:val="0"/>
                <w:szCs w:val="21"/>
              </w:rPr>
              <w:t>数字音频矩阵</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6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14：新增</w:t>
            </w:r>
            <w:r>
              <w:rPr>
                <w:rFonts w:hint="eastAsia" w:ascii="仿宋_GB2312" w:hAnsi="宋体" w:eastAsia="仿宋_GB2312" w:cs="宋体"/>
                <w:color w:val="000000"/>
                <w:kern w:val="0"/>
                <w:szCs w:val="21"/>
              </w:rPr>
              <w:t>音箱</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49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15：新增</w:t>
            </w:r>
            <w:r>
              <w:rPr>
                <w:rFonts w:hint="eastAsia" w:ascii="仿宋_GB2312" w:hAnsi="宋体" w:eastAsia="仿宋_GB2312" w:cs="宋体"/>
                <w:color w:val="000000"/>
                <w:kern w:val="0"/>
                <w:szCs w:val="21"/>
              </w:rPr>
              <w:t>功放</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7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16：新增</w:t>
            </w:r>
            <w:r>
              <w:rPr>
                <w:rFonts w:hint="eastAsia" w:ascii="仿宋_GB2312" w:hAnsi="宋体" w:eastAsia="仿宋_GB2312" w:cs="宋体"/>
                <w:color w:val="000000"/>
                <w:kern w:val="0"/>
                <w:szCs w:val="21"/>
              </w:rPr>
              <w:t>处理器</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7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17：新增</w:t>
            </w:r>
            <w:r>
              <w:rPr>
                <w:rFonts w:hint="eastAsia" w:ascii="仿宋_GB2312" w:hAnsi="宋体" w:eastAsia="仿宋_GB2312" w:cs="宋体"/>
                <w:color w:val="000000"/>
                <w:kern w:val="0"/>
                <w:szCs w:val="21"/>
              </w:rPr>
              <w:t>无线话筒</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9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18：新增</w:t>
            </w:r>
            <w:r>
              <w:rPr>
                <w:rFonts w:hint="eastAsia" w:ascii="仿宋_GB2312" w:hAnsi="宋体" w:eastAsia="仿宋_GB2312" w:cs="宋体"/>
                <w:color w:val="000000"/>
                <w:kern w:val="0"/>
                <w:szCs w:val="21"/>
              </w:rPr>
              <w:t>桌面式触摸面板</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7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19：新增</w:t>
            </w:r>
            <w:r>
              <w:rPr>
                <w:rFonts w:hint="eastAsia" w:ascii="仿宋_GB2312" w:hAnsi="宋体" w:eastAsia="仿宋_GB2312" w:cs="宋体"/>
                <w:color w:val="000000"/>
                <w:kern w:val="0"/>
                <w:szCs w:val="21"/>
              </w:rPr>
              <w:t>时序电源控制器</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7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20：新增</w:t>
            </w:r>
            <w:r>
              <w:rPr>
                <w:rFonts w:hint="eastAsia" w:ascii="仿宋_GB2312" w:hAnsi="宋体" w:eastAsia="仿宋_GB2312" w:cs="宋体"/>
                <w:color w:val="000000"/>
                <w:kern w:val="0"/>
                <w:szCs w:val="21"/>
              </w:rPr>
              <w:t>录播资源管理平台</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8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21：新增</w:t>
            </w:r>
            <w:r>
              <w:rPr>
                <w:rFonts w:hint="eastAsia" w:ascii="仿宋_GB2312" w:hAnsi="宋体" w:eastAsia="仿宋_GB2312" w:cs="宋体"/>
                <w:color w:val="000000"/>
                <w:kern w:val="0"/>
                <w:szCs w:val="21"/>
              </w:rPr>
              <w:t>交换机</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1台</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1台</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8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22：新增</w:t>
            </w:r>
            <w:r>
              <w:rPr>
                <w:rFonts w:hint="eastAsia" w:ascii="仿宋_GB2312" w:hAnsi="宋体" w:eastAsia="仿宋_GB2312" w:cs="宋体"/>
                <w:color w:val="000000"/>
                <w:kern w:val="0"/>
                <w:szCs w:val="21"/>
              </w:rPr>
              <w:t>服务器机柜</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8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23：新增机架式服务器</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1台</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1台</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highlight w:val="green"/>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green"/>
              </w:rPr>
            </w:pPr>
            <w:r>
              <w:rPr>
                <w:rFonts w:hint="eastAsia" w:ascii="仿宋_GB2312" w:hAnsi="宋体" w:eastAsia="仿宋_GB2312" w:cs="宋体"/>
                <w:color w:val="000000"/>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9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24：新增内存升级服务</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31套</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31套</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highlight w:val="green"/>
                <w:lang w:val="en-US" w:eastAsia="zh-CN"/>
              </w:rPr>
            </w:pPr>
            <w:r>
              <w:rPr>
                <w:rFonts w:hint="eastAsia" w:ascii="仿宋_GB2312" w:hAnsi="宋体" w:eastAsia="仿宋_GB2312" w:cs="宋体"/>
                <w:color w:val="000000"/>
                <w:kern w:val="0"/>
                <w:szCs w:val="21"/>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green"/>
                <w:lang w:val="en-US" w:eastAsia="zh-CN"/>
              </w:rPr>
            </w:pPr>
            <w:r>
              <w:rPr>
                <w:rFonts w:hint="eastAsia" w:ascii="仿宋_GB2312" w:hAnsi="宋体" w:eastAsia="仿宋_GB2312" w:cs="宋体"/>
                <w:kern w:val="0"/>
                <w:szCs w:val="21"/>
                <w:highlight w:val="none"/>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8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未</w:t>
            </w: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w:t>
            </w:r>
            <w:r>
              <w:rPr>
                <w:rFonts w:hint="eastAsia" w:ascii="仿宋_GB2312" w:hAnsi="宋体" w:eastAsia="仿宋_GB2312" w:cs="宋体"/>
                <w:color w:val="000000"/>
                <w:kern w:val="0"/>
                <w:szCs w:val="21"/>
                <w:highlight w:val="none"/>
                <w:lang w:val="en-US" w:eastAsia="zh-CN"/>
              </w:rPr>
              <w:t>25：增加保护卡</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31个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0个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0</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按目前需求未采购</w:t>
            </w:r>
          </w:p>
        </w:tc>
      </w:tr>
      <w:tr>
        <w:tblPrEx>
          <w:tblCellMar>
            <w:top w:w="0" w:type="dxa"/>
            <w:left w:w="108" w:type="dxa"/>
            <w:bottom w:w="0" w:type="dxa"/>
            <w:right w:w="108" w:type="dxa"/>
          </w:tblCellMar>
        </w:tblPrEx>
        <w:trPr>
          <w:trHeight w:val="9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指标1：校内教师培训参与度</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3</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3</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114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指标2：校内教师培训通过率</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90%</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3</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3</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8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指标3：</w:t>
            </w:r>
            <w:r>
              <w:rPr>
                <w:rFonts w:hint="eastAsia" w:ascii="仿宋_GB2312" w:hAnsi="宋体" w:eastAsia="仿宋_GB2312" w:cs="宋体"/>
                <w:color w:val="000000"/>
                <w:kern w:val="0"/>
                <w:szCs w:val="21"/>
              </w:rPr>
              <w:t>促成合作数量</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≥1个</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1个</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3</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3</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10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指标4：设备质量</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设备质量合格，正常运行</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设备质量合格，正常运行</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2</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7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指标5：设备验收合格率</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3</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3</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2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highlight w:val="none"/>
              </w:rPr>
              <w:t>指标1：</w:t>
            </w:r>
            <w:r>
              <w:rPr>
                <w:rFonts w:hint="eastAsia" w:ascii="仿宋_GB2312" w:hAnsi="宋体" w:eastAsia="仿宋_GB2312" w:cs="宋体"/>
                <w:color w:val="000000"/>
                <w:kern w:val="0"/>
                <w:szCs w:val="21"/>
                <w:highlight w:val="none"/>
                <w:lang w:val="en-US" w:eastAsia="zh-CN"/>
              </w:rPr>
              <w:t>跨境电子商务综合实训中心按时启动设备采购并完成硬件安装及验收</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lang w:val="en-US" w:eastAsia="zh-CN"/>
              </w:rPr>
              <w:t>2022年12月前完成</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lang w:val="en-US" w:eastAsia="zh-CN"/>
              </w:rPr>
              <w:t>按进度100%完成</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lang w:val="en-US" w:eastAsia="zh-CN" w:bidi="ar-SA"/>
              </w:rPr>
              <w:t>2</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10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highlight w:val="none"/>
              </w:rPr>
              <w:t>指标2：</w:t>
            </w:r>
            <w:r>
              <w:rPr>
                <w:rFonts w:hint="eastAsia" w:ascii="仿宋_GB2312" w:hAnsi="宋体" w:eastAsia="仿宋_GB2312" w:cs="宋体"/>
                <w:color w:val="000000"/>
                <w:kern w:val="0"/>
                <w:szCs w:val="21"/>
                <w:highlight w:val="none"/>
                <w:lang w:val="en-US" w:eastAsia="zh-CN"/>
              </w:rPr>
              <w:t>各项培训按计划实施</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lang w:val="en-US" w:eastAsia="zh-CN"/>
              </w:rPr>
              <w:t>2022年12月前完成</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lang w:val="en-US" w:eastAsia="zh-CN"/>
              </w:rPr>
              <w:t>按进度100%完成</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lang w:val="en-US" w:eastAsia="zh-CN" w:bidi="ar-SA"/>
              </w:rPr>
              <w:t>2</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11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 w:val="21"/>
                <w:szCs w:val="21"/>
                <w:highlight w:val="none"/>
                <w:lang w:val="en-US" w:eastAsia="zh-CN" w:bidi="ar-SA"/>
              </w:rPr>
            </w:pPr>
            <w:r>
              <w:rPr>
                <w:rFonts w:hint="eastAsia" w:ascii="仿宋_GB2312" w:hAnsi="宋体" w:eastAsia="仿宋_GB2312" w:cs="宋体"/>
                <w:color w:val="000000"/>
                <w:kern w:val="0"/>
                <w:szCs w:val="21"/>
                <w:highlight w:val="none"/>
              </w:rPr>
              <w:t>指标1：</w:t>
            </w:r>
            <w:r>
              <w:rPr>
                <w:rFonts w:hint="eastAsia" w:ascii="仿宋_GB2312" w:hAnsi="宋体" w:eastAsia="仿宋_GB2312" w:cs="宋体"/>
                <w:color w:val="000000"/>
                <w:kern w:val="0"/>
                <w:szCs w:val="21"/>
                <w:highlight w:val="none"/>
                <w:lang w:val="en-US" w:eastAsia="zh-CN"/>
              </w:rPr>
              <w:t>项目预算控制数</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86.</w:t>
            </w:r>
            <w:r>
              <w:rPr>
                <w:rFonts w:hint="eastAsia" w:ascii="仿宋_GB2312" w:hAnsi="宋体" w:eastAsia="仿宋_GB2312" w:cs="宋体"/>
                <w:kern w:val="0"/>
                <w:szCs w:val="21"/>
                <w:highlight w:val="none"/>
                <w:lang w:val="en-US" w:eastAsia="zh-CN"/>
              </w:rPr>
              <w:t>4864</w:t>
            </w:r>
            <w:r>
              <w:rPr>
                <w:rFonts w:hint="eastAsia" w:ascii="仿宋_GB2312" w:hAnsi="宋体" w:eastAsia="仿宋_GB2312" w:cs="宋体"/>
                <w:kern w:val="0"/>
                <w:szCs w:val="21"/>
                <w:highlight w:val="none"/>
              </w:rPr>
              <w:t>万元</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highlight w:val="none"/>
                <w:lang w:val="en-US" w:eastAsia="zh-CN" w:bidi="ar-SA"/>
              </w:rPr>
            </w:pPr>
            <w:r>
              <w:rPr>
                <w:rFonts w:hint="eastAsia" w:ascii="仿宋_GB2312" w:hAnsi="宋体" w:eastAsia="仿宋_GB2312" w:cs="宋体"/>
                <w:color w:val="auto"/>
                <w:kern w:val="0"/>
                <w:szCs w:val="21"/>
                <w:highlight w:val="none"/>
                <w:lang w:val="en-US" w:eastAsia="zh-CN"/>
              </w:rPr>
              <w:t>控制在预算内</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color w:val="auto"/>
                <w:kern w:val="0"/>
                <w:szCs w:val="21"/>
                <w:lang w:eastAsia="zh-CN"/>
              </w:rPr>
              <w:t>因为疫情原因，部分差旅费、</w:t>
            </w:r>
            <w:r>
              <w:rPr>
                <w:rFonts w:hint="eastAsia" w:ascii="仿宋_GB2312" w:hAnsi="宋体" w:eastAsia="仿宋_GB2312" w:cs="宋体"/>
                <w:color w:val="auto"/>
                <w:kern w:val="0"/>
                <w:szCs w:val="21"/>
                <w:lang w:val="en-US" w:eastAsia="zh-CN"/>
              </w:rPr>
              <w:t>国际接待费</w:t>
            </w:r>
            <w:r>
              <w:rPr>
                <w:rFonts w:hint="eastAsia" w:ascii="仿宋_GB2312" w:hAnsi="宋体" w:eastAsia="仿宋_GB2312" w:cs="宋体"/>
                <w:color w:val="auto"/>
                <w:kern w:val="0"/>
                <w:szCs w:val="21"/>
                <w:lang w:eastAsia="zh-CN"/>
              </w:rPr>
              <w:t>未完成</w:t>
            </w:r>
          </w:p>
        </w:tc>
      </w:tr>
      <w:tr>
        <w:tblPrEx>
          <w:tblCellMar>
            <w:top w:w="0" w:type="dxa"/>
            <w:left w:w="108" w:type="dxa"/>
            <w:bottom w:w="0" w:type="dxa"/>
            <w:right w:w="108" w:type="dxa"/>
          </w:tblCellMar>
        </w:tblPrEx>
        <w:trPr>
          <w:trHeight w:val="10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34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highlight w:val="none"/>
                <w:lang w:val="en-US" w:eastAsia="zh-CN"/>
              </w:rPr>
              <w:t>国际化师资培训完成度</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lang w:val="en-US" w:eastAsia="zh-CN"/>
              </w:rPr>
              <w:t>100%</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lang w:val="en-US" w:eastAsia="zh-CN"/>
              </w:rPr>
              <w:t>100%</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4</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4</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113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highlight w:val="none"/>
                <w:lang w:val="en-US" w:eastAsia="zh-CN"/>
              </w:rPr>
              <w:t>跨境电子商务综合实训中心利用率</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lang w:val="en-US" w:eastAsia="zh-CN"/>
              </w:rPr>
              <w:t>100%</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lang w:val="en-US" w:eastAsia="zh-CN"/>
              </w:rPr>
              <w:t>100%</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4</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5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highlight w:val="none"/>
              </w:rPr>
              <w:t>学校品牌影响力</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按照计划开展</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完成计划内容</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4</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12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highlight w:val="none"/>
              </w:rPr>
              <w:t>中外合作办学专业学生专业素养</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lang w:eastAsia="zh-CN"/>
              </w:rPr>
              <w:t>提升综合职业素养和国际化视野</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完成计划内容</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4</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12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highlight w:val="none"/>
              </w:rPr>
              <w:t>教师专业能力</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lang w:val="en-US" w:eastAsia="zh-CN"/>
              </w:rPr>
              <w:t>国际化师资</w:t>
            </w:r>
            <w:r>
              <w:rPr>
                <w:rFonts w:hint="eastAsia" w:ascii="仿宋_GB2312" w:hAnsi="宋体" w:eastAsia="仿宋_GB2312" w:cs="宋体"/>
                <w:kern w:val="0"/>
                <w:szCs w:val="21"/>
                <w:lang w:eastAsia="zh-CN"/>
              </w:rPr>
              <w:t>更好服务于教学工作</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完成计划内容</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4</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4</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9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lang w:eastAsia="zh-CN"/>
              </w:rPr>
              <w:t>项目建设生态环保</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达到国家环保标准</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符合国家环保标准</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4</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4</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10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4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项目标志性成果可持续影响的时间</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6年</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6年</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6</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5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34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师生满意度</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98%</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10</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无偏差</w:t>
            </w:r>
          </w:p>
        </w:tc>
      </w:tr>
      <w:tr>
        <w:tblPrEx>
          <w:tblCellMar>
            <w:top w:w="0" w:type="dxa"/>
            <w:left w:w="108" w:type="dxa"/>
            <w:bottom w:w="0" w:type="dxa"/>
            <w:right w:w="108" w:type="dxa"/>
          </w:tblCellMar>
        </w:tblPrEx>
        <w:trPr>
          <w:trHeight w:val="477" w:hRule="exact"/>
          <w:jc w:val="center"/>
        </w:trPr>
        <w:tc>
          <w:tcPr>
            <w:tcW w:w="606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10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94.58</w:t>
            </w:r>
          </w:p>
        </w:tc>
        <w:tc>
          <w:tcPr>
            <w:tcW w:w="13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621032"/>
    <w:multiLevelType w:val="singleLevel"/>
    <w:tmpl w:val="90621032"/>
    <w:lvl w:ilvl="0" w:tentative="0">
      <w:start w:val="1"/>
      <w:numFmt w:val="decimal"/>
      <w:lvlText w:val="%1."/>
      <w:lvlJc w:val="left"/>
      <w:pPr>
        <w:tabs>
          <w:tab w:val="left" w:pos="312"/>
        </w:tabs>
      </w:pPr>
    </w:lvl>
  </w:abstractNum>
  <w:abstractNum w:abstractNumId="1">
    <w:nsid w:val="CC78F664"/>
    <w:multiLevelType w:val="singleLevel"/>
    <w:tmpl w:val="CC78F66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zYmFkY2E3NDQxNWJhYTI2Y2NhNDQ1Y2U1M2JmZTkifQ=="/>
  </w:docVars>
  <w:rsids>
    <w:rsidRoot w:val="F77F09F4"/>
    <w:rsid w:val="00595059"/>
    <w:rsid w:val="00621416"/>
    <w:rsid w:val="00896E4B"/>
    <w:rsid w:val="00B12301"/>
    <w:rsid w:val="00D534E2"/>
    <w:rsid w:val="03931E71"/>
    <w:rsid w:val="06935042"/>
    <w:rsid w:val="0C1D6863"/>
    <w:rsid w:val="23B948F1"/>
    <w:rsid w:val="35141B9B"/>
    <w:rsid w:val="37173543"/>
    <w:rsid w:val="3E3C1A04"/>
    <w:rsid w:val="3FF76880"/>
    <w:rsid w:val="48C12990"/>
    <w:rsid w:val="4A2A4D47"/>
    <w:rsid w:val="50C40360"/>
    <w:rsid w:val="59A2722F"/>
    <w:rsid w:val="5BFA4A1D"/>
    <w:rsid w:val="62770E77"/>
    <w:rsid w:val="70064CBA"/>
    <w:rsid w:val="7631150F"/>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2594</Words>
  <Characters>2832</Characters>
  <Lines>7</Lines>
  <Paragraphs>2</Paragraphs>
  <TotalTime>0</TotalTime>
  <ScaleCrop>false</ScaleCrop>
  <LinksUpToDate>false</LinksUpToDate>
  <CharactersWithSpaces>2869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86134</cp:lastModifiedBy>
  <cp:lastPrinted>2023-04-24T04:51:00Z</cp:lastPrinted>
  <dcterms:modified xsi:type="dcterms:W3CDTF">2023-05-19T03:20:20Z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BEC605054DAE431D9AAE709E49596901_12</vt:lpwstr>
  </property>
</Properties>
</file>